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529"/>
        <w:gridCol w:w="4676"/>
      </w:tblGrid>
      <w:tr>
        <w:tblPrEx/>
        <w:trPr>
          <w:trHeight w:val="192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textDirection w:val="lrTb"/>
            <w:noWrap w:val="false"/>
          </w:tcPr>
          <w:p>
            <w:pPr>
              <w:ind w:right="-28"/>
              <w:spacing w:line="276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 xml:space="preserve">ID</w:t>
            </w:r>
            <w:r>
              <w:rPr>
                <w:rFonts w:ascii="Times New Roman" w:hAnsi="Times New Roman"/>
                <w:b/>
                <w:lang w:eastAsia="ru-RU"/>
              </w:rPr>
              <w:t xml:space="preserve">:083-0022321</w:t>
            </w:r>
            <w:r>
              <w:rPr>
                <w:rFonts w:ascii="Times New Roman" w:hAnsi="Times New Roman"/>
                <w:b/>
                <w:lang w:eastAsia="ru-RU"/>
              </w:rPr>
            </w:r>
            <w:r>
              <w:rPr>
                <w:rFonts w:ascii="Times New Roman" w:hAnsi="Times New Roman"/>
                <w:b/>
                <w:lang w:eastAsia="ru-RU"/>
              </w:rPr>
            </w:r>
          </w:p>
          <w:p>
            <w:pPr>
              <w:ind w:right="-28"/>
              <w:spacing w:line="276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Источник:</w:t>
            </w:r>
            <w:r>
              <w:rPr>
                <w:rFonts w:ascii="Times New Roman" w:hAnsi="Times New Roman"/>
                <w:highlight w:val="white"/>
              </w:rPr>
              <w:t xml:space="preserve"> Обслуживание лифтов</w:t>
            </w: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  <w:p>
            <w:pPr>
              <w:ind w:right="-28"/>
              <w:spacing w:line="276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Начальник ФЭУ ЗЭС филиала –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right="-28"/>
              <w:spacing w:line="276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ПАО «Россети МР»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right="-28"/>
              <w:spacing w:line="276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right="-28"/>
              <w:spacing w:line="276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right="-28"/>
              <w:spacing w:line="276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right="-28"/>
              <w:jc w:val="both"/>
              <w:spacing w:line="276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________________</w:t>
            </w:r>
            <w:r>
              <w:rPr>
                <w:rFonts w:ascii="Times New Roman" w:hAnsi="Times New Roman"/>
                <w:color w:val="000000"/>
              </w:rPr>
              <w:t xml:space="preserve">Жириков А.С.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right="-28"/>
              <w:jc w:val="both"/>
              <w:spacing w:line="276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«____» _________ 20</w:t>
            </w:r>
            <w:r>
              <w:rPr>
                <w:rFonts w:ascii="Times New Roman" w:hAnsi="Times New Roman"/>
                <w:lang w:val="en-US"/>
              </w:rPr>
              <w:t xml:space="preserve">26</w:t>
            </w:r>
            <w:r>
              <w:rPr>
                <w:rFonts w:ascii="Times New Roman" w:hAnsi="Times New Roman"/>
              </w:rPr>
              <w:t xml:space="preserve"> года                                               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6" w:type="dxa"/>
            <w:textDirection w:val="lrTb"/>
            <w:noWrap w:val="false"/>
          </w:tcPr>
          <w:p>
            <w:pPr>
              <w:ind w:right="-28" w:firstLine="35"/>
              <w:jc w:val="right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«УТВЕРЖДАЮ»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ind w:right="-28" w:firstLine="35"/>
              <w:jc w:val="right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директора –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right="-28" w:firstLine="35"/>
              <w:jc w:val="right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инженер филиала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right="-28"/>
              <w:jc w:val="right"/>
              <w:spacing w:line="276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 ПАО «Россети Московский регион»-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right="-28"/>
              <w:jc w:val="right"/>
              <w:spacing w:line="276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Западные электрические сети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right="-28"/>
              <w:jc w:val="right"/>
              <w:spacing w:line="276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right="-28"/>
              <w:jc w:val="right"/>
              <w:spacing w:line="276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right="-28"/>
              <w:jc w:val="right"/>
              <w:spacing w:line="276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right="-28"/>
              <w:jc w:val="right"/>
              <w:spacing w:line="276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_____________ А.Ю. Мартихин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right="-28"/>
              <w:jc w:val="right"/>
              <w:spacing w:line="276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 «____» _________ 2026 года                                               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spacing w:line="276" w:lineRule="auto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</w:r>
      <w:r>
        <w:rPr>
          <w:rFonts w:ascii="Times New Roman" w:hAnsi="Times New Roman"/>
          <w:b/>
          <w:caps/>
        </w:rPr>
      </w:r>
      <w:r>
        <w:rPr>
          <w:rFonts w:ascii="Times New Roman" w:hAnsi="Times New Roman"/>
          <w:b/>
          <w:caps/>
        </w:rPr>
      </w:r>
    </w:p>
    <w:p>
      <w:pPr>
        <w:jc w:val="center"/>
        <w:spacing w:line="276" w:lineRule="auto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</w:r>
      <w:r>
        <w:rPr>
          <w:rFonts w:ascii="Times New Roman" w:hAnsi="Times New Roman"/>
          <w:b/>
          <w:caps/>
        </w:rPr>
      </w:r>
      <w:r>
        <w:rPr>
          <w:rFonts w:ascii="Times New Roman" w:hAnsi="Times New Roman"/>
          <w:b/>
          <w:caps/>
        </w:rPr>
      </w:r>
    </w:p>
    <w:p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ТЕХНИЧЕСКОЕ ЗАДАНИЕ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на периодическое техническое освидетельствование пассажирских лифтов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(М.О., г.Одинцово, Транспортный проезд, д.32)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для нужд ЗЭС в 2027г.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jc w:val="center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line="276" w:lineRule="auto"/>
        <w:rPr>
          <w:rFonts w:ascii="Times New Roman" w:hAnsi="Times New Roman"/>
          <w:b/>
        </w:rPr>
      </w:pPr>
      <w:r/>
      <w:bookmarkStart w:id="0" w:name="_GoBack"/>
      <w:r/>
      <w:bookmarkEnd w:id="0"/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left="-851" w:firstLine="709"/>
        <w:jc w:val="center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Начальная (предельная) стоимость услуг: 32 141,53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</w:rPr>
        <w:t xml:space="preserve">руб. с НДС, в том числе НДС 22 %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80"/>
        <w:jc w:val="center"/>
        <w:spacing w:line="276" w:lineRule="auto"/>
        <w:shd w:val="clear" w:color="auto" w:fill="auto"/>
        <w:tabs>
          <w:tab w:val="left" w:pos="0" w:leader="none"/>
        </w:tabs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1.Общие положения.</w:t>
      </w:r>
      <w:r>
        <w:rPr>
          <w:color w:val="000000"/>
          <w:sz w:val="24"/>
          <w:szCs w:val="24"/>
          <w:lang w:bidi="ru-RU"/>
        </w:rPr>
      </w:r>
      <w:r>
        <w:rPr>
          <w:color w:val="000000"/>
          <w:sz w:val="24"/>
          <w:szCs w:val="24"/>
          <w:lang w:bidi="ru-RU"/>
        </w:rPr>
      </w:r>
    </w:p>
    <w:p>
      <w:pPr>
        <w:pStyle w:val="1078"/>
        <w:numPr>
          <w:ilvl w:val="0"/>
          <w:numId w:val="6"/>
        </w:numPr>
        <w:ind w:firstLine="0"/>
        <w:jc w:val="both"/>
        <w:spacing w:after="0" w:line="276" w:lineRule="auto"/>
        <w:tabs>
          <w:tab w:val="left" w:pos="528" w:leader="none"/>
        </w:tabs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Проведение оценки соответствия лифтов производится согласно требованиям Технического регламента таможенного союза 011/2011 «Безопасность лифтов», «Правил организации безопасного использования и содержания лифтов, подъемных платформ для инвалидов, пассажирс</w:t>
      </w:r>
      <w:r>
        <w:rPr>
          <w:color w:val="000000"/>
          <w:sz w:val="24"/>
          <w:szCs w:val="24"/>
          <w:lang w:bidi="ru-RU"/>
        </w:rPr>
        <w:t xml:space="preserve">ких конвейеров (движущихся пешеходных дорожек) и эскалаторов, за исключением эскалаторов в метрополитенах» (утверждены постановлением правительства РФ от 20.10.2023г. №1744) </w:t>
      </w:r>
      <w:r>
        <w:rPr>
          <w:color w:val="000000"/>
          <w:sz w:val="24"/>
          <w:szCs w:val="24"/>
          <w:lang w:bidi="ru-RU"/>
        </w:rPr>
      </w:r>
      <w:r>
        <w:rPr>
          <w:color w:val="000000"/>
          <w:sz w:val="24"/>
          <w:szCs w:val="24"/>
          <w:lang w:bidi="ru-RU"/>
        </w:rPr>
      </w:r>
    </w:p>
    <w:p>
      <w:pPr>
        <w:pStyle w:val="1078"/>
        <w:numPr>
          <w:ilvl w:val="0"/>
          <w:numId w:val="6"/>
        </w:numPr>
        <w:ind w:firstLine="0"/>
        <w:jc w:val="both"/>
        <w:spacing w:after="0" w:line="276" w:lineRule="auto"/>
        <w:tabs>
          <w:tab w:val="left" w:pos="528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</w:rPr>
        <w:t xml:space="preserve">Договор заключается с поставщиком, предложившего минимальную стоимость </w:t>
      </w:r>
      <w:r>
        <w:rPr>
          <w:color w:val="000000"/>
          <w:sz w:val="24"/>
          <w:szCs w:val="24"/>
          <w:highlight w:val="white"/>
        </w:rPr>
        <w:t xml:space="preserve">выполнения</w:t>
      </w:r>
      <w:r>
        <w:rPr>
          <w:color w:val="000000"/>
          <w:sz w:val="24"/>
          <w:szCs w:val="24"/>
          <w:highlight w:val="white"/>
        </w:rPr>
        <w:t xml:space="preserve"> договора.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078"/>
        <w:numPr>
          <w:ilvl w:val="0"/>
          <w:numId w:val="6"/>
        </w:numPr>
        <w:ind w:firstLine="0"/>
        <w:jc w:val="both"/>
        <w:spacing w:after="0" w:line="276" w:lineRule="auto"/>
        <w:tabs>
          <w:tab w:val="left" w:pos="528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 xml:space="preserve">Стоимость услуг определена на основании сметного расчета</w:t>
      </w:r>
      <w:r>
        <w:rPr>
          <w:sz w:val="24"/>
          <w:szCs w:val="24"/>
          <w:highlight w:val="white"/>
        </w:rPr>
        <w:t xml:space="preserve">, составленного в соответствии с составом и технологией производства услуг, указанных в ведомости объемов (Приложение №1), с использованием сметно-нормативной </w:t>
      </w:r>
      <w:r>
        <w:rPr>
          <w:color w:val="000000"/>
          <w:sz w:val="24"/>
          <w:szCs w:val="24"/>
          <w:highlight w:val="white"/>
        </w:rPr>
        <w:t xml:space="preserve">базы ТСН–2001 г. Москвы, с инд</w:t>
      </w:r>
      <w:r>
        <w:rPr>
          <w:color w:val="000000"/>
          <w:sz w:val="24"/>
          <w:szCs w:val="24"/>
          <w:highlight w:val="white"/>
        </w:rPr>
        <w:t xml:space="preserve">ексами пересчёта сметной стоимости, разработанными ГАУ «Московская государственная экспертиза» по статьям затрат на I квартал 2026 года.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jc w:val="both"/>
        <w:spacing w:line="276" w:lineRule="auto"/>
        <w:rPr>
          <w:rFonts w:ascii="Times New Roman" w:hAnsi="Times New Roman"/>
          <w:sz w:val="26"/>
          <w:szCs w:val="26"/>
          <w:highlight w:val="white"/>
        </w:rPr>
      </w:pPr>
      <w:r>
        <w:rPr>
          <w:rFonts w:ascii="Times New Roman" w:hAnsi="Times New Roman"/>
          <w:highlight w:val="white"/>
        </w:rPr>
        <w:t xml:space="preserve">1.4. Д</w:t>
      </w:r>
      <w:r>
        <w:rPr>
          <w:rFonts w:ascii="Times New Roman" w:hAnsi="Times New Roman"/>
          <w:color w:val="000000"/>
          <w:highlight w:val="white"/>
        </w:rPr>
        <w:t xml:space="preserve">ля участия в торгово-закупочных процедурах и заключения договора, участнику необходимо предоставить сметный расчё</w:t>
      </w:r>
      <w:r>
        <w:rPr>
          <w:rFonts w:ascii="Times New Roman" w:hAnsi="Times New Roman"/>
          <w:color w:val="000000"/>
          <w:highlight w:val="white"/>
        </w:rPr>
        <w:t xml:space="preserve">т на оказываемые услуги, в строгом соответствии с ведомостью объемов услуг (Приложение №1) с учетом требований п.1.3.</w:t>
      </w:r>
      <w:r>
        <w:rPr>
          <w:rFonts w:ascii="Times New Roman" w:hAnsi="Times New Roman"/>
          <w:sz w:val="26"/>
          <w:szCs w:val="26"/>
          <w:highlight w:val="white"/>
        </w:rPr>
      </w:r>
      <w:r>
        <w:rPr>
          <w:rFonts w:ascii="Times New Roman" w:hAnsi="Times New Roman"/>
          <w:sz w:val="26"/>
          <w:szCs w:val="26"/>
          <w:highlight w:val="white"/>
        </w:rPr>
      </w:r>
    </w:p>
    <w:p>
      <w:pPr>
        <w:ind w:right="300"/>
        <w:jc w:val="center"/>
        <w:spacing w:line="276" w:lineRule="auto"/>
        <w:tabs>
          <w:tab w:val="left" w:pos="0" w:leader="none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right="300"/>
        <w:jc w:val="center"/>
        <w:spacing w:line="276" w:lineRule="auto"/>
        <w:tabs>
          <w:tab w:val="left" w:pos="0" w:leader="none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 Объем оказываемых услуг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pStyle w:val="1078"/>
        <w:numPr>
          <w:ilvl w:val="0"/>
          <w:numId w:val="21"/>
        </w:numPr>
        <w:jc w:val="both"/>
        <w:spacing w:after="0" w:line="276" w:lineRule="auto"/>
        <w:tabs>
          <w:tab w:val="left" w:pos="528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Проведение оценки соответствия лифтов требованиям технического регламента Таможенного союза 011/2011 «Безопасн</w:t>
      </w:r>
      <w:r>
        <w:rPr>
          <w:color w:val="000000"/>
          <w:sz w:val="24"/>
          <w:szCs w:val="24"/>
        </w:rPr>
        <w:t xml:space="preserve">ость лифтов», «Правил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 в форме периодического те</w:t>
      </w:r>
      <w:r>
        <w:rPr>
          <w:color w:val="000000"/>
          <w:sz w:val="24"/>
          <w:szCs w:val="24"/>
        </w:rPr>
        <w:t xml:space="preserve">хнического освидетельствования: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tbl>
      <w:tblPr>
        <w:tblW w:w="10464" w:type="dxa"/>
        <w:tblInd w:w="-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0"/>
        <w:gridCol w:w="1615"/>
        <w:gridCol w:w="1641"/>
        <w:gridCol w:w="1453"/>
        <w:gridCol w:w="968"/>
        <w:gridCol w:w="968"/>
        <w:gridCol w:w="912"/>
        <w:gridCol w:w="1130"/>
        <w:gridCol w:w="1157"/>
      </w:tblGrid>
      <w:tr>
        <w:tblPrEx/>
        <w:trPr>
          <w:cantSplit/>
          <w:trHeight w:val="1134"/>
        </w:trPr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544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№ 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п/п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418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Адрес установки лифта</w:t>
            </w:r>
            <w:r>
              <w:rPr>
                <w:rFonts w:cs="Times New Roman"/>
                <w:sz w:val="20"/>
                <w:szCs w:val="20"/>
                <w:lang w:val="ru-RU"/>
              </w:rPr>
            </w:r>
            <w:r>
              <w:rPr>
                <w:rFonts w:cs="Times New Roman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441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Идентификационный номер (рег. Или зав. №)</w:t>
            </w:r>
            <w:r>
              <w:rPr>
                <w:rFonts w:cs="Times New Roman"/>
                <w:sz w:val="20"/>
                <w:szCs w:val="20"/>
                <w:lang w:val="ru-RU"/>
              </w:rPr>
            </w:r>
            <w:r>
              <w:rPr>
                <w:rFonts w:cs="Times New Roman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Завод изготовитель</w:t>
            </w:r>
            <w:r>
              <w:rPr>
                <w:rFonts w:cs="Times New Roman"/>
                <w:sz w:val="20"/>
                <w:szCs w:val="20"/>
                <w:lang w:val="ru-RU"/>
              </w:rPr>
            </w:r>
            <w:r>
              <w:rPr>
                <w:rFonts w:cs="Times New Roman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850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Назначение</w:t>
            </w:r>
            <w:r>
              <w:rPr>
                <w:rFonts w:cs="Times New Roman"/>
                <w:sz w:val="20"/>
                <w:szCs w:val="20"/>
                <w:lang w:val="ru-RU"/>
              </w:rPr>
            </w:r>
            <w:r>
              <w:rPr>
                <w:rFonts w:cs="Times New Roman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Грузоподъёмность</w:t>
            </w:r>
            <w:r>
              <w:rPr>
                <w:rFonts w:cs="Times New Roman"/>
                <w:sz w:val="20"/>
                <w:szCs w:val="20"/>
                <w:lang w:val="ru-RU"/>
              </w:rPr>
            </w:r>
            <w:r>
              <w:rPr>
                <w:rFonts w:cs="Times New Roman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01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Ско-</w:t>
            </w:r>
            <w:r>
              <w:rPr>
                <w:rFonts w:cs="Times New Roman"/>
                <w:sz w:val="20"/>
                <w:szCs w:val="20"/>
                <w:lang w:val="en-US"/>
              </w:rPr>
            </w:r>
            <w:r>
              <w:rPr>
                <w:rFonts w:cs="Times New Roman"/>
                <w:sz w:val="20"/>
                <w:szCs w:val="20"/>
                <w:lang w:val="en-US"/>
              </w:rPr>
            </w:r>
          </w:p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рость</w:t>
            </w:r>
            <w:r>
              <w:rPr>
                <w:rFonts w:cs="Times New Roman"/>
                <w:sz w:val="20"/>
                <w:szCs w:val="20"/>
                <w:lang w:val="ru-RU"/>
              </w:rPr>
            </w:r>
            <w:r>
              <w:rPr>
                <w:rFonts w:cs="Times New Roman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992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Число остановок</w:t>
            </w:r>
            <w:r>
              <w:rPr>
                <w:rFonts w:cs="Times New Roman"/>
                <w:sz w:val="20"/>
                <w:szCs w:val="20"/>
                <w:lang w:val="ru-RU"/>
              </w:rPr>
            </w:r>
            <w:r>
              <w:rPr>
                <w:rFonts w:cs="Times New Roman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016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Дата ввода в эксплуатацию</w:t>
            </w:r>
            <w:r>
              <w:rPr>
                <w:rFonts w:cs="Times New Roman"/>
                <w:sz w:val="20"/>
                <w:szCs w:val="20"/>
                <w:lang w:val="ru-RU"/>
              </w:rPr>
            </w:r>
            <w:r>
              <w:rPr>
                <w:rFonts w:cs="Times New Roman"/>
                <w:sz w:val="20"/>
                <w:szCs w:val="20"/>
                <w:lang w:val="ru-RU"/>
              </w:rPr>
            </w:r>
          </w:p>
        </w:tc>
      </w:tr>
      <w:tr>
        <w:tblPrEx/>
        <w:trPr/>
        <w:tc>
          <w:tcPr>
            <w:tcBorders>
              <w:left w:val="single" w:color="000000" w:sz="2" w:space="0"/>
              <w:bottom w:val="singl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544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 xml:space="preserve">1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Borders>
              <w:left w:val="single" w:color="000000" w:sz="2" w:space="0"/>
              <w:bottom w:val="singl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418" w:type="dxa"/>
            <w:vAlign w:val="center"/>
            <w:textDirection w:val="lrTb"/>
            <w:noWrap w:val="false"/>
          </w:tcPr>
          <w:p>
            <w:pPr>
              <w:ind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г. Одинцово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ind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Транспортный проезд, 32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Borders>
              <w:left w:val="single" w:color="000000" w:sz="2" w:space="0"/>
              <w:bottom w:val="singl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441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 xml:space="preserve">Е2КО6560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,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>
              <w:rPr>
                <w:sz w:val="20"/>
                <w:szCs w:val="20"/>
              </w:rPr>
              <w:t xml:space="preserve">Учетный №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388049</w:t>
            </w:r>
            <w:r>
              <w:rPr>
                <w:rFonts w:ascii="Times New Roman" w:hAnsi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/>
                <w:sz w:val="22"/>
                <w:szCs w:val="22"/>
                <w:highlight w:val="yellow"/>
              </w:rPr>
            </w:r>
          </w:p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Borders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ООО «ОТИС лифт»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left w:val="single" w:color="000000" w:sz="2" w:space="0"/>
              <w:bottom w:val="singl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850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Пассажиры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Borders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1000кг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Borders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801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1 м/с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Borders>
              <w:left w:val="single" w:color="000000" w:sz="2" w:space="0"/>
              <w:bottom w:val="singl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992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7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016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 2019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544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2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418" w:type="dxa"/>
            <w:vAlign w:val="center"/>
            <w:textDirection w:val="lrTb"/>
            <w:noWrap w:val="false"/>
          </w:tcPr>
          <w:p>
            <w:pPr>
              <w:ind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г. Одинцово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ind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Транспортный проезд, 32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441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 xml:space="preserve">Е2КО6561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,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>
              <w:rPr>
                <w:sz w:val="20"/>
                <w:szCs w:val="20"/>
              </w:rPr>
              <w:t xml:space="preserve">Учетный №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388056</w:t>
            </w:r>
            <w:r>
              <w:rPr>
                <w:rFonts w:ascii="Times New Roman" w:hAnsi="Times New Roman"/>
                <w:sz w:val="22"/>
                <w:szCs w:val="22"/>
                <w:highlight w:val="yellow"/>
              </w:rPr>
            </w:r>
            <w:r>
              <w:rPr>
                <w:rFonts w:ascii="Times New Roman" w:hAnsi="Times New Roman"/>
                <w:sz w:val="22"/>
                <w:szCs w:val="22"/>
                <w:highlight w:val="yellow"/>
              </w:rPr>
            </w:r>
          </w:p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ООО «ОТИС лифт»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850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Пассажиры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1000кг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801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1 м/с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992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6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Mar>
              <w:left w:w="55" w:type="dxa"/>
              <w:top w:w="55" w:type="dxa"/>
              <w:right w:w="55" w:type="dxa"/>
              <w:bottom w:w="55" w:type="dxa"/>
            </w:tcMar>
            <w:tcW w:w="1016" w:type="dxa"/>
            <w:vAlign w:val="center"/>
            <w:textDirection w:val="lrTb"/>
            <w:noWrap w:val="false"/>
          </w:tcPr>
          <w:p>
            <w:pPr>
              <w:pStyle w:val="1081"/>
              <w:jc w:val="center"/>
              <w:spacing w:line="276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 2019</w:t>
            </w:r>
            <w:r>
              <w:rPr>
                <w:rFonts w:cs="Times New Roman"/>
                <w:sz w:val="20"/>
                <w:szCs w:val="20"/>
              </w:rPr>
            </w:r>
            <w:r>
              <w:rPr>
                <w:rFonts w:cs="Times New Roman"/>
                <w:sz w:val="20"/>
                <w:szCs w:val="20"/>
              </w:rPr>
            </w:r>
          </w:p>
        </w:tc>
      </w:tr>
    </w:tbl>
    <w:p>
      <w:pPr>
        <w:jc w:val="both"/>
        <w:spacing w:line="276" w:lineRule="auto"/>
        <w:tabs>
          <w:tab w:val="left" w:pos="761" w:leader="none"/>
        </w:tabs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</w:r>
      <w:r>
        <w:rPr>
          <w:rFonts w:ascii="Times New Roman" w:hAnsi="Times New Roman"/>
          <w:bCs/>
          <w:sz w:val="16"/>
          <w:szCs w:val="16"/>
        </w:rPr>
      </w:r>
      <w:r>
        <w:rPr>
          <w:rFonts w:ascii="Times New Roman" w:hAnsi="Times New Roman"/>
          <w:bCs/>
          <w:sz w:val="16"/>
          <w:szCs w:val="16"/>
        </w:rPr>
      </w:r>
    </w:p>
    <w:p>
      <w:pPr>
        <w:ind w:right="300"/>
        <w:jc w:val="both"/>
        <w:spacing w:line="276" w:lineRule="auto"/>
        <w:tabs>
          <w:tab w:val="left" w:pos="0" w:leader="none"/>
        </w:tabs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right="300"/>
        <w:jc w:val="center"/>
        <w:spacing w:line="276" w:lineRule="auto"/>
        <w:tabs>
          <w:tab w:val="left" w:pos="0" w:leader="none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3. Требования к работам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</w:rPr>
        <w:t xml:space="preserve">3.1. </w:t>
      </w:r>
      <w:r>
        <w:rPr>
          <w:rFonts w:ascii="Times New Roman" w:hAnsi="Times New Roman"/>
        </w:rPr>
        <w:t xml:space="preserve">К оказанию услуг допускают</w:t>
      </w:r>
      <w:r>
        <w:rPr>
          <w:rFonts w:ascii="Times New Roman" w:hAnsi="Times New Roman"/>
        </w:rPr>
        <w:t xml:space="preserve">ся организации (испытательные центры (лаборатории), аккредитованные в установленном порядке в соответствии с главой 5 Федерального закона «О техническом регулировании» от 27.12.2002 г. № 184-ФЗ и утвержденной области аккредитации, содержащей расширение по </w:t>
      </w:r>
      <w:r>
        <w:rPr>
          <w:rFonts w:ascii="Times New Roman" w:hAnsi="Times New Roman"/>
        </w:rPr>
        <w:t xml:space="preserve">ТР ТС 011/2011 «Безопасность лифтов»</w:t>
      </w:r>
      <w:r>
        <w:rPr>
          <w:rFonts w:ascii="Times New Roman" w:hAnsi="Times New Roman"/>
          <w:highlight w:val="white"/>
        </w:rPr>
        <w:t xml:space="preserve"> утвержденным </w:t>
      </w:r>
      <w:r>
        <w:rPr>
          <w:rFonts w:ascii="Times New Roman" w:hAnsi="Times New Roman"/>
          <w:color w:val="000000"/>
          <w:highlight w:val="white"/>
        </w:rPr>
        <w:t xml:space="preserve">решением Комиссии Таможенного союза от 18 октября 2011 года №824.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3.2. Необходимые правила и методы исследований (испытаний) и измерений и документы в области стандартизации необходимые для оказания услуг по оценке соответствия в соответствии с п.4 и п.5 ст.6 ТР ТС 011/2011 «Безопасность лифтов»: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numPr>
          <w:ilvl w:val="0"/>
          <w:numId w:val="26"/>
        </w:num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ГОСТ 33652–2019 (Е</w:t>
      </w:r>
      <w:r>
        <w:rPr>
          <w:rFonts w:ascii="Times New Roman" w:hAnsi="Times New Roman"/>
          <w:lang w:val="en-US"/>
        </w:rPr>
        <w:t xml:space="preserve">N</w:t>
      </w:r>
      <w:r>
        <w:rPr>
          <w:rFonts w:ascii="Times New Roman" w:hAnsi="Times New Roman"/>
        </w:rPr>
        <w:t xml:space="preserve"> 81-7</w:t>
      </w:r>
      <w:r>
        <w:rPr>
          <w:rFonts w:ascii="Times New Roman" w:hAnsi="Times New Roman"/>
        </w:rPr>
        <w:t xml:space="preserve">0:2018) «Межгосударственный стандарт. Лифты. Специальные требования безопасности и доступности для инвалидов и других маломобильных групп населения» (введен в действие Приказом Росстандарта от 22.10.2019 № 1042–ст);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numPr>
          <w:ilvl w:val="0"/>
          <w:numId w:val="26"/>
        </w:num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ГОСТ 33653–2019 (Е</w:t>
      </w:r>
      <w:r>
        <w:rPr>
          <w:rFonts w:ascii="Times New Roman" w:hAnsi="Times New Roman"/>
          <w:lang w:val="en-US"/>
        </w:rPr>
        <w:t xml:space="preserve">N</w:t>
      </w:r>
      <w:r>
        <w:rPr>
          <w:rFonts w:ascii="Times New Roman" w:hAnsi="Times New Roman"/>
        </w:rPr>
        <w:t xml:space="preserve"> 81-71:2018) «Лифты п</w:t>
      </w:r>
      <w:r>
        <w:rPr>
          <w:rFonts w:ascii="Times New Roman" w:hAnsi="Times New Roman"/>
        </w:rPr>
        <w:t xml:space="preserve">ассажирские. Требования вандалозащищенности»; (введен в действие </w:t>
      </w:r>
      <w:r>
        <w:rPr>
          <w:rFonts w:ascii="Times New Roman" w:hAnsi="Times New Roman"/>
          <w:color w:val="000000"/>
          <w:highlight w:val="white"/>
        </w:rPr>
        <w:t xml:space="preserve">приказом Федерального агентства по техническому регулированию и метрологии от 22 октября 2019 года №1043-ст</w:t>
      </w:r>
      <w:r>
        <w:rPr>
          <w:rFonts w:ascii="Times New Roman" w:hAnsi="Times New Roman"/>
        </w:rPr>
        <w:t xml:space="preserve">)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numPr>
          <w:ilvl w:val="0"/>
          <w:numId w:val="26"/>
        </w:num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ГОСТ Р 53780-2010 (ЕН 81-1:1998; ЕН 81-2:1998) «Лифты. Общие требования безопаснос</w:t>
      </w:r>
      <w:r>
        <w:rPr>
          <w:rFonts w:ascii="Times New Roman" w:hAnsi="Times New Roman"/>
        </w:rPr>
        <w:t xml:space="preserve">ти к устройству и установке» (восстановлен в действие Приказом Росстандарта от 17.03.2020 № 143-ст);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numPr>
          <w:ilvl w:val="0"/>
          <w:numId w:val="26"/>
        </w:num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ГОСТ Р 53783-2010 «Лифты. Правила и методы оценки соответствия лифтов в период эксплуатации» (</w:t>
      </w:r>
      <w:r>
        <w:rPr>
          <w:rFonts w:ascii="Times New Roman" w:hAnsi="Times New Roman"/>
          <w:color w:val="000000"/>
          <w:highlight w:val="white"/>
        </w:rPr>
        <w:t xml:space="preserve">утверждён и введён в действие приказом Федерального агентства</w:t>
      </w:r>
      <w:r>
        <w:rPr>
          <w:rFonts w:ascii="Times New Roman" w:hAnsi="Times New Roman"/>
          <w:color w:val="000000"/>
          <w:highlight w:val="white"/>
        </w:rPr>
        <w:t xml:space="preserve"> по техническому регулированию и метрологии от 31 марта 2010 года №44-ст.)</w:t>
      </w:r>
      <w:r>
        <w:rPr>
          <w:rFonts w:ascii="Times New Roman" w:hAnsi="Times New Roman"/>
        </w:rPr>
        <w:t xml:space="preserve">;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numPr>
          <w:ilvl w:val="0"/>
          <w:numId w:val="26"/>
        </w:num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ГОСТ Р 53782-2010 «Лифты. Правила и методы оценки соответствия лифтов при вводе в эксплуатацию» (</w:t>
      </w:r>
      <w:r>
        <w:rPr>
          <w:rFonts w:ascii="Times New Roman" w:hAnsi="Times New Roman"/>
          <w:color w:val="000000"/>
          <w:highlight w:val="white"/>
        </w:rPr>
        <w:t xml:space="preserve">утверждён и введён в действие приказом Федерального агентства по техническому регул</w:t>
      </w:r>
      <w:r>
        <w:rPr>
          <w:rFonts w:ascii="Times New Roman" w:hAnsi="Times New Roman"/>
          <w:color w:val="000000"/>
          <w:highlight w:val="white"/>
        </w:rPr>
        <w:t xml:space="preserve">ированию и метрологии от 31 марта 2010 года №43-ст</w:t>
      </w:r>
      <w:r>
        <w:rPr>
          <w:rFonts w:ascii="Liberation Sans" w:hAnsi="Liberation Sans" w:eastAsia="Liberation Sans" w:cs="Liberation Sans"/>
          <w:color w:val="000000"/>
          <w:highlight w:val="white"/>
        </w:rPr>
        <w:t xml:space="preserve">)</w:t>
      </w:r>
      <w:r>
        <w:rPr>
          <w:rFonts w:ascii="Times New Roman" w:hAnsi="Times New Roman"/>
        </w:rPr>
        <w:t xml:space="preserve">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numPr>
          <w:ilvl w:val="0"/>
          <w:numId w:val="26"/>
        </w:num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ГОСТ Р</w:t>
      </w:r>
      <w:r>
        <w:rPr>
          <w:rFonts w:ascii="Times New Roman" w:hAnsi="Times New Roman"/>
        </w:rPr>
        <w:t xml:space="preserve"> 70368.2-2022. Национальный стандарт Российской Федерации. Лифты. Проверки, испытания и измерения. Часть 2. Порядок проведения измерений и правила оформления результатов освидетельствования лифтов в период эксплуатации" (утв. и введен в действие Приказом Р</w:t>
      </w:r>
      <w:r>
        <w:rPr>
          <w:rFonts w:ascii="Times New Roman" w:hAnsi="Times New Roman"/>
        </w:rPr>
        <w:t xml:space="preserve">осстандарта от 29.09.2022 № 1025-ст)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3.3. Для оказания услуг по оценке соответствия необходимо иметь: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- наличие квалифицированного персонала специалистов по оценке соответствия лифтов и платформ требованиям безопасности в испытательном центре - не менее 5 </w:t>
      </w:r>
      <w:r>
        <w:rPr>
          <w:rFonts w:ascii="Times New Roman" w:hAnsi="Times New Roman"/>
        </w:rPr>
        <w:t xml:space="preserve">специалистов (предоставить действующие аттестаты компетентности)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- сотрудники, участвующие в оказание услуг по оценке соответствия, должны работать в организации по основному месту работы (предоставить копии трудовых книжек)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- для оказания услуг по оценке</w:t>
      </w:r>
      <w:r>
        <w:rPr>
          <w:rFonts w:ascii="Times New Roman" w:hAnsi="Times New Roman"/>
        </w:rPr>
        <w:t xml:space="preserve"> соответствия необходимо иметь производственные помещения на праве собственности или на ином законном основании (предоставить подтверждающие документы)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- поверенные приборы и инструмент достаточный для проведения испытаний, измерений и проверок (предостави</w:t>
      </w:r>
      <w:r>
        <w:rPr>
          <w:rFonts w:ascii="Times New Roman" w:hAnsi="Times New Roman"/>
        </w:rPr>
        <w:t xml:space="preserve">ть акты поверок приборов и инструмента)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- наличие свидетельства о внесении в реестр членов саморегулируемой организации (предоставить копию свидетельства)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- наличие свидетельства о членстве в Общеотраслевом объединении работодателей лифтового комплекса «Фе</w:t>
      </w:r>
      <w:r>
        <w:rPr>
          <w:rFonts w:ascii="Times New Roman" w:hAnsi="Times New Roman"/>
        </w:rPr>
        <w:t xml:space="preserve">дерация лифтовых предприятий» (предоставить копию свидетельства).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- по пожарной безопасности (приложить копии документов, подтверждающих квалификацию) (требование Приказа МЧС РФ от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  <w:highlight w:val="white"/>
        </w:rPr>
        <w:t xml:space="preserve">16.12.2024 №1120 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</w:rPr>
        <w:t xml:space="preserve">"Об определении Порядка, видов, сроков обучения лиц, осущ</w:t>
      </w:r>
      <w:r>
        <w:rPr>
          <w:rFonts w:ascii="Times New Roman" w:hAnsi="Times New Roman"/>
        </w:rPr>
        <w:t xml:space="preserve">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</w:t>
      </w:r>
      <w:r>
        <w:rPr>
          <w:rFonts w:ascii="Times New Roman" w:hAnsi="Times New Roman"/>
        </w:rPr>
        <w:t xml:space="preserve">пасности).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- по охране труда Руководители, инженерно-технические работники и работники рабочих профессий организации должны быть обучены и пройти проверку знаний в соответствии с установленным порядком (</w:t>
      </w:r>
      <w:r>
        <w:rPr>
          <w:rFonts w:ascii="Times New Roman" w:hAnsi="Times New Roman"/>
          <w:color w:val="000000" w:themeColor="text1"/>
          <w:highlight w:val="white"/>
        </w:rPr>
        <w:t xml:space="preserve">Постановление Правительства РФ от 24.12.2021 № 2464 (</w:t>
      </w:r>
      <w:r>
        <w:rPr>
          <w:rFonts w:ascii="Times New Roman" w:hAnsi="Times New Roman"/>
          <w:color w:val="000000" w:themeColor="text1"/>
          <w:highlight w:val="white"/>
        </w:rPr>
        <w:t xml:space="preserve">ред. от 12.06.2024)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</w:t>
      </w:r>
      <w:r>
        <w:rPr>
          <w:rFonts w:ascii="Times New Roman" w:hAnsi="Times New Roman"/>
          <w:color w:val="000000" w:themeColor="text1"/>
        </w:rPr>
        <w:t xml:space="preserve">.</w:t>
      </w:r>
      <w:r>
        <w:rPr>
          <w:rFonts w:ascii="Times New Roman" w:hAnsi="Times New Roman"/>
        </w:rPr>
        <w:t xml:space="preserve"> Предоставить по актуальные копии документов, подтверждающих провер</w:t>
      </w:r>
      <w:r>
        <w:rPr>
          <w:rFonts w:ascii="Times New Roman" w:hAnsi="Times New Roman"/>
        </w:rPr>
        <w:t xml:space="preserve">ку знаний.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line="276" w:lineRule="auto"/>
        <w:tabs>
          <w:tab w:val="left" w:pos="0" w:leader="none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jc w:val="center"/>
        <w:spacing w:line="276" w:lineRule="auto"/>
        <w:tabs>
          <w:tab w:val="left" w:pos="0" w:leader="none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4. </w:t>
      </w:r>
      <w:r>
        <w:rPr>
          <w:rFonts w:ascii="Times New Roman" w:hAnsi="Times New Roman"/>
          <w:b/>
        </w:rPr>
        <w:t xml:space="preserve">Т</w:t>
      </w:r>
      <w:r>
        <w:rPr>
          <w:rFonts w:ascii="Times New Roman" w:hAnsi="Times New Roman"/>
          <w:b/>
          <w:bCs/>
        </w:rPr>
        <w:t xml:space="preserve">ребования к содержанию работ, их результатам и иные показатели, связанные с определением соответствия выполняемых работ потребностям Заказчика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pStyle w:val="1078"/>
        <w:numPr>
          <w:ilvl w:val="0"/>
          <w:numId w:val="23"/>
        </w:numPr>
        <w:jc w:val="both"/>
        <w:spacing w:after="0" w:line="276" w:lineRule="auto"/>
        <w:tabs>
          <w:tab w:val="left" w:pos="528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Проводится оценка соответствия лифтов ЗАКАЗЧИКА требованиям технического регламента Таможенного с</w:t>
      </w:r>
      <w:r>
        <w:rPr>
          <w:color w:val="000000"/>
          <w:sz w:val="24"/>
          <w:szCs w:val="24"/>
        </w:rPr>
        <w:t xml:space="preserve">оюза 011/2011 «Безопасность лифтов», утвержденного решением Комиссии Таможенного союза от 18 октября 2011 г. № 824 (статья 6, п.4), в форме периодического технического освидетельствования;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78"/>
        <w:numPr>
          <w:ilvl w:val="0"/>
          <w:numId w:val="23"/>
        </w:numPr>
        <w:jc w:val="both"/>
        <w:spacing w:after="0" w:line="276" w:lineRule="auto"/>
        <w:tabs>
          <w:tab w:val="left" w:pos="528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Исполнитель выполняет предусмотренные в Договоре услуги лично без п</w:t>
      </w:r>
      <w:r>
        <w:rPr>
          <w:color w:val="000000"/>
          <w:sz w:val="24"/>
          <w:szCs w:val="24"/>
        </w:rPr>
        <w:t xml:space="preserve">ривлечения к исполнению своих обязательств других лиц.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78"/>
        <w:numPr>
          <w:ilvl w:val="0"/>
          <w:numId w:val="23"/>
        </w:numPr>
        <w:jc w:val="both"/>
        <w:spacing w:after="0" w:line="276" w:lineRule="auto"/>
        <w:tabs>
          <w:tab w:val="left" w:pos="528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Ежегодное периодическое техническое освидетельствование необходимо выполнить в срок, не позднее указанного в паспорте лифта.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78"/>
        <w:numPr>
          <w:ilvl w:val="0"/>
          <w:numId w:val="23"/>
        </w:numPr>
        <w:jc w:val="both"/>
        <w:spacing w:after="0" w:line="276" w:lineRule="auto"/>
        <w:tabs>
          <w:tab w:val="left" w:pos="528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процессе периодического технического освидетельствования все лифты, находящиеся в эксплуатации, в рамках программы освидетельствований должны быть подвергнуты статическим и динамическим испытаниям.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78"/>
        <w:numPr>
          <w:ilvl w:val="0"/>
          <w:numId w:val="23"/>
        </w:numPr>
        <w:jc w:val="both"/>
        <w:spacing w:after="0" w:line="276" w:lineRule="auto"/>
        <w:tabs>
          <w:tab w:val="left" w:pos="528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Статические испытания проводятся с целью проверки прочно</w:t>
      </w:r>
      <w:r>
        <w:rPr>
          <w:color w:val="000000"/>
          <w:sz w:val="24"/>
          <w:szCs w:val="24"/>
        </w:rPr>
        <w:t xml:space="preserve">сти механизмов лифта, его кабины, подвески, канатов кабины и их крепления, а так же действия тормоза.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78"/>
        <w:numPr>
          <w:ilvl w:val="0"/>
          <w:numId w:val="23"/>
        </w:numPr>
        <w:jc w:val="both"/>
        <w:spacing w:after="0" w:line="276" w:lineRule="auto"/>
        <w:tabs>
          <w:tab w:val="left" w:pos="528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Целью динамических испытаний является проверка работоспособности механизмов привода, буферов, ловителей, ограничителя скорости, точность остановки кабины </w:t>
      </w:r>
      <w:r>
        <w:rPr>
          <w:color w:val="000000"/>
          <w:sz w:val="24"/>
          <w:szCs w:val="24"/>
        </w:rPr>
        <w:t xml:space="preserve">в процессе работы лифта.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78"/>
        <w:numPr>
          <w:ilvl w:val="0"/>
          <w:numId w:val="23"/>
        </w:numPr>
        <w:jc w:val="both"/>
        <w:spacing w:after="0" w:line="276" w:lineRule="auto"/>
        <w:tabs>
          <w:tab w:val="left" w:pos="528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процессе освидетельствования также выполняют испытания электрооборудования лифта: испытание (измерение сопротивления) изоляции электрических цепей и электрооборудования, визуальный контроль и измерительный контроль заземления (за</w:t>
      </w:r>
      <w:r>
        <w:rPr>
          <w:color w:val="000000"/>
          <w:sz w:val="24"/>
          <w:szCs w:val="24"/>
        </w:rPr>
        <w:t xml:space="preserve">нуления) оборудования лифта и т.д.;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78"/>
        <w:numPr>
          <w:ilvl w:val="0"/>
          <w:numId w:val="23"/>
        </w:numPr>
        <w:jc w:val="both"/>
        <w:spacing w:after="0" w:line="276" w:lineRule="auto"/>
        <w:tabs>
          <w:tab w:val="left" w:pos="528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 результатам проведенных испытаний специалист испытательной лаборатории (центра), проводивший проверки, испытания и измерения лифта оформляет протокол(ы) испытаний, на основании протокола(ов) испытаний оформляет резуль</w:t>
      </w:r>
      <w:r>
        <w:rPr>
          <w:color w:val="000000"/>
          <w:sz w:val="24"/>
          <w:szCs w:val="24"/>
        </w:rPr>
        <w:t xml:space="preserve">таты технического освидетельствования Актом периодического технического освидетельствования лифта.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78"/>
        <w:ind w:firstLine="0"/>
        <w:jc w:val="both"/>
        <w:spacing w:after="0" w:line="276" w:lineRule="auto"/>
        <w:tabs>
          <w:tab w:val="left" w:pos="528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center"/>
        <w:spacing w:line="276" w:lineRule="auto"/>
        <w:tabs>
          <w:tab w:val="left" w:pos="1941" w:leader="none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5. </w:t>
      </w:r>
      <w:r>
        <w:rPr>
          <w:rFonts w:ascii="Times New Roman" w:hAnsi="Times New Roman"/>
          <w:b/>
        </w:rPr>
        <w:t xml:space="preserve">Контроль и приемка качества оказанных услуг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both"/>
        <w:spacing w:line="276" w:lineRule="auto"/>
        <w:tabs>
          <w:tab w:val="left" w:pos="1941" w:leader="none"/>
        </w:tabs>
      </w:pPr>
      <w:r>
        <w:rPr>
          <w:rFonts w:ascii="Times New Roman" w:hAnsi="Times New Roman"/>
        </w:rPr>
        <w:t xml:space="preserve">5.1. Специалисты ЗЭС осуществляют контроль качества оказываемых услуг, контролируют ход выполнения работ, про</w:t>
      </w:r>
      <w:r>
        <w:rPr>
          <w:rFonts w:ascii="Times New Roman" w:hAnsi="Times New Roman"/>
        </w:rPr>
        <w:t xml:space="preserve">веряют соблюдение требований нормативно-технической документации.</w:t>
      </w:r>
      <w:r/>
    </w:p>
    <w:p>
      <w:pPr>
        <w:pStyle w:val="1087"/>
        <w:jc w:val="both"/>
        <w:spacing w:line="276" w:lineRule="auto"/>
      </w:pPr>
      <w:r>
        <w:rPr>
          <w:rFonts w:ascii="Times New Roman" w:hAnsi="Times New Roman"/>
          <w:sz w:val="24"/>
          <w:szCs w:val="24"/>
        </w:rPr>
        <w:t xml:space="preserve">5.2. По результатам оказанных услуг специализированная организация должна предоставить в ЗЭС Акты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технического освидетельствования лифтов и Акт</w:t>
      </w:r>
      <w:r>
        <w:rPr>
          <w:rFonts w:ascii="Times New Roman" w:hAnsi="Times New Roman"/>
          <w:bCs/>
          <w:sz w:val="24"/>
          <w:szCs w:val="24"/>
        </w:rPr>
        <w:t xml:space="preserve"> приема – передачи</w:t>
      </w:r>
      <w:r>
        <w:rPr>
          <w:rFonts w:ascii="Times New Roman" w:hAnsi="Times New Roman"/>
          <w:sz w:val="24"/>
          <w:szCs w:val="24"/>
        </w:rPr>
        <w:t xml:space="preserve"> оказанных услуг с занесением результатов периодического технического освидетельствования в паспорт лифта с указанием срока следующего периодического технического освидетельствования.</w:t>
      </w:r>
      <w:r/>
    </w:p>
    <w:p>
      <w:pPr>
        <w:jc w:val="both"/>
        <w:spacing w:line="276" w:lineRule="auto"/>
        <w:rPr>
          <w:rFonts w:ascii="Times New Roman" w:hAnsi="Times New Roman"/>
          <w:color w:val="000000"/>
          <w:spacing w:val="-1"/>
        </w:rPr>
      </w:pPr>
      <w:r>
        <w:rPr>
          <w:rFonts w:ascii="Times New Roman" w:hAnsi="Times New Roman"/>
          <w:color w:val="000000"/>
          <w:spacing w:val="-1"/>
        </w:rPr>
      </w:r>
      <w:r>
        <w:rPr>
          <w:rFonts w:ascii="Times New Roman" w:hAnsi="Times New Roman"/>
          <w:color w:val="000000"/>
          <w:spacing w:val="-1"/>
        </w:rPr>
      </w:r>
      <w:r>
        <w:rPr>
          <w:rFonts w:ascii="Times New Roman" w:hAnsi="Times New Roman"/>
          <w:color w:val="000000"/>
          <w:spacing w:val="-1"/>
        </w:rPr>
      </w:r>
    </w:p>
    <w:p>
      <w:pPr>
        <w:jc w:val="center"/>
        <w:spacing w:line="276" w:lineRule="auto"/>
        <w:tabs>
          <w:tab w:val="left" w:pos="1481" w:leader="none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Требования к исполнителю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6.1. К оказанию услуг допускаются организац</w:t>
      </w:r>
      <w:r>
        <w:rPr>
          <w:rFonts w:ascii="Times New Roman" w:hAnsi="Times New Roman"/>
        </w:rPr>
        <w:t xml:space="preserve">ии (испытательные центры (лаборатории), аккредитованные в установленном порядке в соответствии с главой 5 Федерального закона «О техническом регулировании» от 27.12.2002 г. № 184-ФЗ и утвержденной области аккредитации, содержащей расширение по ТР ТС 011/20</w:t>
      </w:r>
      <w:r>
        <w:rPr>
          <w:rFonts w:ascii="Times New Roman" w:hAnsi="Times New Roman"/>
        </w:rPr>
        <w:t xml:space="preserve">11 «Безопасность лифтов».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6.2. Необходимые правила и методы исследований (испытаний) и измерений и документы в области стандартизации необходимые для оказания услуг по оценке соответствия в соответствии с п.4 и п.5 ст.6 ТР ТС 011/2011 «Безопасность лифтов»</w:t>
      </w:r>
      <w:r>
        <w:rPr>
          <w:rFonts w:ascii="Times New Roman" w:hAnsi="Times New Roman"/>
        </w:rPr>
        <w:t xml:space="preserve">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numPr>
          <w:ilvl w:val="0"/>
          <w:numId w:val="27"/>
        </w:num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ГОСТ 33652–2019 (Е</w:t>
      </w:r>
      <w:r>
        <w:rPr>
          <w:rFonts w:ascii="Times New Roman" w:hAnsi="Times New Roman"/>
          <w:lang w:val="en-US"/>
        </w:rPr>
        <w:t xml:space="preserve">N</w:t>
      </w:r>
      <w:r>
        <w:rPr>
          <w:rFonts w:ascii="Times New Roman" w:hAnsi="Times New Roman"/>
        </w:rPr>
        <w:t xml:space="preserve"> 81-70:2018) «Межгосударственный стандарт. Лифты. Специальные требования безопасности и доступности для инвалидов и других маломобильных групп населения» (введен в действие Приказом Росстандарта от 22.10.2019 № 1042–ст);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numPr>
          <w:ilvl w:val="0"/>
          <w:numId w:val="27"/>
        </w:num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ГОСТ 33653–201</w:t>
      </w:r>
      <w:r>
        <w:rPr>
          <w:rFonts w:ascii="Times New Roman" w:hAnsi="Times New Roman"/>
        </w:rPr>
        <w:t xml:space="preserve">9 (Е</w:t>
      </w:r>
      <w:r>
        <w:rPr>
          <w:rFonts w:ascii="Times New Roman" w:hAnsi="Times New Roman"/>
          <w:lang w:val="en-US"/>
        </w:rPr>
        <w:t xml:space="preserve">N</w:t>
      </w:r>
      <w:r>
        <w:rPr>
          <w:rFonts w:ascii="Times New Roman" w:hAnsi="Times New Roman"/>
        </w:rPr>
        <w:t xml:space="preserve"> 81-71:2018) «Лифты пассажирские. Требования вандалозащищенности»;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numPr>
          <w:ilvl w:val="0"/>
          <w:numId w:val="27"/>
        </w:num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ГОСТ Р 53780-2010 (ЕН 81-1:1998; ЕН 81-2:1998) «Лифты. Общие требования безопасности к устройству и установке» (восстановлен в действие Приказом Росстандарта от 17.03.2020 № 143-ст);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numPr>
          <w:ilvl w:val="0"/>
          <w:numId w:val="27"/>
        </w:num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Г</w:t>
      </w:r>
      <w:r>
        <w:rPr>
          <w:rFonts w:ascii="Times New Roman" w:hAnsi="Times New Roman"/>
        </w:rPr>
        <w:t xml:space="preserve">ОСТ Р 53783-2010 «Лифты. Правила и методы оценки соответствия лифтов в период эксплуатации»;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numPr>
          <w:ilvl w:val="0"/>
          <w:numId w:val="27"/>
        </w:num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ГОСТ Р 53782-2010 «Лифты. Правила и методы оценки соответствия лифтов при вводе в эксплуатацию».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numPr>
          <w:ilvl w:val="0"/>
          <w:numId w:val="27"/>
        </w:num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ГОСТ Р</w:t>
      </w:r>
      <w:r>
        <w:rPr>
          <w:rFonts w:ascii="Times New Roman" w:hAnsi="Times New Roman"/>
        </w:rPr>
        <w:t xml:space="preserve"> 70368.2-2022. Национальный стандарт Российской Федерации. Лифты. Проверки, испытания и измерения. Часть 2. Порядок проведения измерений и правила оформления результатов освидетельствования лифтов в период эксплуатации" (утв. и введен в действие Приказом Р</w:t>
      </w:r>
      <w:r>
        <w:rPr>
          <w:rFonts w:ascii="Times New Roman" w:hAnsi="Times New Roman"/>
        </w:rPr>
        <w:t xml:space="preserve">осстандарта от 29.09.2022 № 1025-ст)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1056"/>
        <w:ind w:firstLine="0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6.3. Требования к персоналу, участвующему в измерениях согласно ГОСТ Р 70368.2-2022. Национальный стандарт Российской Федерации. Лифты. Проверки, испытания и измерения. Порядок проведения измерений и правила оформления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результатов освидетельствования лифтов в период эксплуатации" (утв. и введен в действие Приказом Росстандарта от 29.09.2022 N 1025-ст):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056"/>
        <w:ind w:firstLine="0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6.3.1. Специалисты аккредитованных организаций должны: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056"/>
        <w:ind w:firstLine="540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иметь высшее, среднее профессиональное или дополнительное профе</w:t>
      </w:r>
      <w:r>
        <w:rPr>
          <w:rFonts w:ascii="Times New Roman" w:hAnsi="Times New Roman" w:cs="Times New Roman"/>
          <w:sz w:val="24"/>
          <w:szCs w:val="24"/>
        </w:rPr>
        <w:t xml:space="preserve">ссиональное образование по профилю, соответствующему области аккредитации, либо ученой степени по специальности и (или) направлению подготовки, соответствующему области аккредитации;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6"/>
        <w:ind w:firstLine="540"/>
        <w:jc w:val="both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иметь опыт работы по исследованиям (испытаниям), измерениям в области а</w:t>
      </w:r>
      <w:r>
        <w:rPr>
          <w:rFonts w:ascii="Times New Roman" w:hAnsi="Times New Roman" w:cs="Times New Roman"/>
          <w:sz w:val="24"/>
          <w:szCs w:val="24"/>
        </w:rPr>
        <w:t xml:space="preserve">ккредитации, указанной в заявлении об аккредитации или в реестре аккредитованных лиц не менее двух лет;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6"/>
        <w:ind w:firstLine="540"/>
        <w:jc w:val="both"/>
        <w:spacing w:line="276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подтвердить свою квалификацию в соответствии с порядком, предусмотренным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6.3.2. Специалист аккредитованной испытательной лаборатории (центра) должен </w:t>
      </w:r>
      <w:r>
        <w:rPr>
          <w:rFonts w:ascii="Times New Roman" w:hAnsi="Times New Roman"/>
        </w:rPr>
        <w:t xml:space="preserve">знать: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устройство, конструктивные особенности и принципы действия лифтов;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порядок, организацию и технологию проведения испытаний, проверок и измерений на лифтах;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порядок, методики (методы) измерений, проводимых при выполнении работ;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порядок, методики и технологию проведения электроизмерительных работ на лифтах;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порядок, организацию и технологию проведения оценки соответствия лифтов и устройств безопасности лифтов;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правила применения технических средств и средств измерений;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эле</w:t>
      </w:r>
      <w:r>
        <w:rPr>
          <w:rFonts w:ascii="Times New Roman" w:hAnsi="Times New Roman"/>
        </w:rPr>
        <w:t xml:space="preserve">ментарные сведения по теории погрешностей и обработке результатов измерений;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эксплуатационную и техническую документацию (паспорт, техническое описание, инструкцию по эксплуатации) применяемых средств измерений;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правила ведения технической и эксплуатац</w:t>
      </w:r>
      <w:r>
        <w:rPr>
          <w:rFonts w:ascii="Times New Roman" w:hAnsi="Times New Roman"/>
        </w:rPr>
        <w:t xml:space="preserve">ионной документации;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основы организации труда, производства и управления;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основы трудового законодательства;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правила по охране труда, безопасные методы и приемы труда;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требования по охране труда, установленные правилами, нормами, инструкциями, дейс</w:t>
      </w:r>
      <w:r>
        <w:rPr>
          <w:rFonts w:ascii="Times New Roman" w:hAnsi="Times New Roman"/>
        </w:rPr>
        <w:t xml:space="preserve">твующими в аккредитованной испытательной лаборатории (центре) и установленными на объекте проведения измерений. Руководители, инженерно-технические работники и работники рабочих профессий организации должны быть обучены и пройти проверку знаний в соответст</w:t>
      </w:r>
      <w:r>
        <w:rPr>
          <w:rFonts w:ascii="Times New Roman" w:hAnsi="Times New Roman"/>
        </w:rPr>
        <w:t xml:space="preserve">вии с установленным порядком (Постановления Правительства РФ от 24.12.2021 № 2426 "О порядке обучения по охране труда и проверки знания требований охраны труда"). Предоставить по актуальные копии документов, подтверждающих проверку знаний.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80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по пожарной бе</w:t>
      </w:r>
      <w:r>
        <w:rPr>
          <w:rFonts w:ascii="Times New Roman" w:hAnsi="Times New Roman"/>
        </w:rPr>
        <w:t xml:space="preserve">зопасности (приложить копии документов, подтверждающих квалификацию) (требование Приказа МЧС РФ от 18.11.2021 № 806 "Об определении Порядка, видов, сроков обучения лиц, осуществляющих трудовую или служебную деятельность в организациях, по программам против</w:t>
      </w:r>
      <w:r>
        <w:rPr>
          <w:rFonts w:ascii="Times New Roman" w:hAnsi="Times New Roman"/>
        </w:rPr>
        <w:t xml:space="preserve">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безопасности);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6.3.3.</w:t>
      </w:r>
      <w:r>
        <w:t xml:space="preserve"> </w:t>
      </w:r>
      <w:r>
        <w:rPr>
          <w:rFonts w:ascii="Times New Roman" w:hAnsi="Times New Roman"/>
        </w:rPr>
        <w:t xml:space="preserve">Специалист аккредитованной испытательной лаборатории (центра) рук</w:t>
      </w:r>
      <w:r>
        <w:rPr>
          <w:rFonts w:ascii="Times New Roman" w:hAnsi="Times New Roman"/>
        </w:rPr>
        <w:t xml:space="preserve">оводствуется, законами и иными нормативными правовыми актами Российской Федерации. Нормативно-технической и методической документацией и иными документами, регламентирующими обеспечение безопасной эксплуатации лифтов, а также настоящим стандартом.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both"/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jc w:val="center"/>
        <w:spacing w:line="276" w:lineRule="auto"/>
        <w:tabs>
          <w:tab w:val="left" w:pos="1481" w:leader="none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7. Условия оплаты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pStyle w:val="1082"/>
        <w:numPr>
          <w:ilvl w:val="1"/>
          <w:numId w:val="17"/>
        </w:numPr>
        <w:ind w:left="0" w:firstLine="0"/>
        <w:jc w:val="both"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Авансирование не предусмотрено.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82"/>
        <w:numPr>
          <w:ilvl w:val="1"/>
          <w:numId w:val="17"/>
        </w:numPr>
        <w:ind w:left="0" w:firstLine="0"/>
        <w:jc w:val="both"/>
        <w:spacing w:after="0" w:line="276" w:lineRule="auto"/>
        <w:rPr>
          <w:rFonts w:ascii="Times New Roman" w:hAnsi="Times New Roman" w:eastAsia="Times New Roman"/>
          <w:color w:val="000000"/>
          <w:sz w:val="24"/>
          <w:szCs w:val="24"/>
        </w:rPr>
      </w:pPr>
      <w:r>
        <w:rPr>
          <w:rFonts w:ascii="Times New Roman" w:hAnsi="Times New Roman" w:eastAsia="Times New Roman"/>
          <w:color w:val="000000"/>
          <w:sz w:val="24"/>
          <w:szCs w:val="24"/>
        </w:rPr>
        <w:t xml:space="preserve">Окончательный расчет стоимости работ производится по актам приемки выполненных работ формы №КС-2 и КС-3 за фактически выполненные работы, но не превышает сметную стоимость,  в порядке, предусмотренном услов</w:t>
      </w:r>
      <w:r>
        <w:rPr>
          <w:rFonts w:ascii="Times New Roman" w:hAnsi="Times New Roman" w:eastAsia="Times New Roman"/>
          <w:color w:val="000000"/>
          <w:sz w:val="24"/>
          <w:szCs w:val="24"/>
        </w:rPr>
        <w:t xml:space="preserve">иями договора.</w:t>
      </w:r>
      <w:r>
        <w:rPr>
          <w:rFonts w:ascii="Times New Roman" w:hAnsi="Times New Roman" w:eastAsia="Times New Roman"/>
          <w:color w:val="000000"/>
          <w:sz w:val="24"/>
          <w:szCs w:val="24"/>
        </w:rPr>
      </w:r>
      <w:r>
        <w:rPr>
          <w:rFonts w:ascii="Times New Roman" w:hAnsi="Times New Roman" w:eastAsia="Times New Roman"/>
          <w:color w:val="000000"/>
          <w:sz w:val="24"/>
          <w:szCs w:val="24"/>
        </w:rPr>
      </w:r>
    </w:p>
    <w:p>
      <w:pPr>
        <w:pStyle w:val="1082"/>
        <w:numPr>
          <w:ilvl w:val="1"/>
          <w:numId w:val="17"/>
        </w:numPr>
        <w:ind w:left="0" w:firstLine="0"/>
        <w:jc w:val="both"/>
        <w:spacing w:after="0" w:line="276" w:lineRule="auto"/>
        <w:rPr>
          <w:rFonts w:ascii="Times New Roman" w:hAnsi="Times New Roman" w:eastAsia="Times New Roman"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Оплата производится по факту оказания услуг в течение 30 рабочих дней (7 рабочих дней в случае принадлежности к МСП) на основании акта приема – передачи оказанных услуг </w:t>
      </w:r>
      <w:r>
        <w:rPr>
          <w:rFonts w:ascii="Times New Roman" w:hAnsi="Times New Roman"/>
          <w:sz w:val="24"/>
          <w:szCs w:val="24"/>
          <w:highlight w:val="white"/>
        </w:rPr>
        <w:t xml:space="preserve">со дня подписания Сторонами акта 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приема – передачи </w:t>
      </w:r>
      <w:r>
        <w:rPr>
          <w:rFonts w:ascii="Times New Roman" w:hAnsi="Times New Roman"/>
          <w:sz w:val="24"/>
          <w:szCs w:val="24"/>
          <w:highlight w:val="white"/>
        </w:rPr>
        <w:t xml:space="preserve">оказанных услуг, при </w:t>
      </w:r>
      <w:r>
        <w:rPr>
          <w:rFonts w:ascii="Times New Roman" w:hAnsi="Times New Roman"/>
          <w:sz w:val="24"/>
          <w:szCs w:val="24"/>
          <w:highlight w:val="white"/>
        </w:rPr>
        <w:t xml:space="preserve">условии предоставления полного комплекта документов, необходимых для приемки выполненных работ, отсутствии недоделок и замечаний по качеству выполненных работ, в порядке, предусмотренном условиями договора.</w:t>
      </w:r>
      <w:r>
        <w:rPr>
          <w:rFonts w:ascii="Times New Roman" w:hAnsi="Times New Roman" w:eastAsia="Times New Roman"/>
          <w:sz w:val="24"/>
          <w:szCs w:val="24"/>
          <w:highlight w:val="white"/>
        </w:rPr>
      </w:r>
      <w:r>
        <w:rPr>
          <w:rFonts w:ascii="Times New Roman" w:hAnsi="Times New Roman" w:eastAsia="Times New Roman"/>
          <w:sz w:val="24"/>
          <w:szCs w:val="24"/>
          <w:highlight w:val="white"/>
        </w:rPr>
      </w:r>
    </w:p>
    <w:p>
      <w:pPr>
        <w:pStyle w:val="1082"/>
        <w:numPr>
          <w:ilvl w:val="1"/>
          <w:numId w:val="17"/>
        </w:numPr>
        <w:ind w:left="0" w:firstLine="0"/>
        <w:jc w:val="both"/>
        <w:spacing w:after="0"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color w:val="000000"/>
          <w:sz w:val="24"/>
          <w:szCs w:val="24"/>
        </w:rPr>
        <w:t xml:space="preserve">Подрядчик  предоставляет Заказчику акты на выполнение работ по форме КС-2 и КС-3 (не позднее 25 числа текущего  месяца).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line="276" w:lineRule="auto"/>
        <w:tabs>
          <w:tab w:val="left" w:pos="1481" w:leader="none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jc w:val="center"/>
        <w:spacing w:line="276" w:lineRule="auto"/>
        <w:tabs>
          <w:tab w:val="left" w:pos="1481" w:leader="none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8. Требования по гарантии качества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8.1. Исполнитель гарантирует качество выполненных всех работ, соблюдая требования законодательных и</w:t>
      </w:r>
      <w:r>
        <w:rPr>
          <w:rFonts w:ascii="Times New Roman" w:hAnsi="Times New Roman"/>
        </w:rPr>
        <w:t xml:space="preserve"> нормативных актов в области оценки соответствия лифтов.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8.2. В случае наложения штрафных санкций надзорными органами за ненадлежащее освидетельствование лифтов и платформы, исполнитель обязан компенсировать понесенные затраты в полном объеме.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9. Сроки ок</w:t>
      </w:r>
      <w:r>
        <w:rPr>
          <w:rFonts w:ascii="Times New Roman" w:hAnsi="Times New Roman"/>
          <w:b/>
        </w:rPr>
        <w:t xml:space="preserve">азания услуг.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both"/>
        <w:spacing w:line="276" w:lineRule="auto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Начало: с момента подписания договора, но не ранее 01.01.2027г.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Окончание: 31 декабря 2027г.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10. Порядок оформления договора.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10.1 </w:t>
      </w:r>
      <w:r>
        <w:rPr>
          <w:rFonts w:ascii="Times New Roman" w:hAnsi="Times New Roman"/>
          <w:color w:val="000000"/>
        </w:rPr>
        <w:t xml:space="preserve">Для заключения договора, после проведения торгово-закупочных процедур, использовать утверждённую типовую форму</w:t>
      </w:r>
      <w:r>
        <w:rPr>
          <w:rFonts w:ascii="Times New Roman" w:hAnsi="Times New Roman"/>
          <w:color w:val="000000"/>
        </w:rPr>
        <w:t xml:space="preserve"> договора подряда </w:t>
      </w:r>
      <w:r>
        <w:rPr>
          <w:rFonts w:ascii="Times New Roman" w:hAnsi="Times New Roman"/>
        </w:rPr>
        <w:t xml:space="preserve">на ремонт и техническое обслуживание оборудования</w:t>
      </w:r>
      <w:r>
        <w:rPr>
          <w:rFonts w:ascii="Times New Roman" w:hAnsi="Times New Roman"/>
          <w:color w:val="000000"/>
        </w:rPr>
        <w:t xml:space="preserve"> в соответствии с Приложением №8 к приказу ПАО «Россети Москоский регион» №1230  от 23.11.2022г. По результатам закупочной процедуры с победителем заключается 1 (один) договор.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Приложения: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firstLine="709"/>
        <w:jc w:val="both"/>
        <w:spacing w:line="276" w:lineRule="auto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Приложение № 1 – Ведомость объемов услуг;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ind w:firstLine="1276"/>
        <w:jc w:val="both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82"/>
        <w:ind w:left="0"/>
        <w:jc w:val="both"/>
        <w:spacing w:after="0" w:line="276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службы ЭЗиС</w:t>
      </w:r>
      <w:r>
        <w:rPr>
          <w:rFonts w:ascii="Times New Roman" w:hAnsi="Times New Roman"/>
        </w:rPr>
        <w:tab/>
        <w:t xml:space="preserve">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>
        <w:rPr>
          <w:rFonts w:ascii="Times New Roman" w:hAnsi="Times New Roman"/>
        </w:rPr>
        <w:tab/>
        <w:t xml:space="preserve">     </w:t>
      </w:r>
      <w:r>
        <w:rPr>
          <w:rFonts w:ascii="Times New Roman" w:hAnsi="Times New Roman"/>
        </w:rPr>
        <w:tab/>
        <w:t xml:space="preserve">       Ерш С.М.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7"/>
        <w:shd w:val="clear" w:color="auto" w:fill="ffffff"/>
        <w:tabs>
          <w:tab w:val="left" w:pos="552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ПЭО                                                                                                              Кугот Т.В.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7"/>
        <w:jc w:val="both"/>
        <w:shd w:val="clear" w:color="auto" w:fill="ffffff"/>
        <w:tabs>
          <w:tab w:val="left" w:pos="552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hd w:val="clear" w:color="auto" w:fill="ffffff"/>
        <w:tabs>
          <w:tab w:val="left" w:pos="552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Зам. главного инженера по ОР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7"/>
        <w:shd w:val="clear" w:color="auto" w:fill="ffffff"/>
        <w:tabs>
          <w:tab w:val="left" w:pos="552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начальник службы ППТОиР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>
        <w:rPr>
          <w:rFonts w:ascii="Times New Roman" w:hAnsi="Times New Roman"/>
        </w:rPr>
        <w:tab/>
        <w:t xml:space="preserve">         Казаков Н.С.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82"/>
        <w:ind w:left="0"/>
        <w:spacing w:after="0" w:line="276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sectPr>
      <w:footerReference w:type="default" r:id="rId9"/>
      <w:footerReference w:type="even" r:id="rId10"/>
      <w:footnotePr/>
      <w:endnotePr/>
      <w:type w:val="continuous"/>
      <w:pgSz w:w="11906" w:h="16838" w:orient="portrait"/>
      <w:pgMar w:top="709" w:right="849" w:bottom="851" w:left="1134" w:header="567" w:footer="42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ale Sans UI">
    <w:panose1 w:val="02000603000000000000"/>
  </w:font>
  <w:font w:name="SimSun">
    <w:panose1 w:val="02000506000000020000"/>
  </w:font>
  <w:font w:name="Tahoma">
    <w:panose1 w:val="020B0604030504040204"/>
  </w:font>
  <w:font w:name="Symbol">
    <w:panose1 w:val="05010000000000000000"/>
  </w:font>
  <w:font w:name="Courier New">
    <w:panose1 w:val="02070309020205020404"/>
  </w:font>
  <w:font w:name="OpenSymbol">
    <w:panose1 w:val="05010000000000000000"/>
  </w:font>
  <w:font w:name="Mangal">
    <w:panose1 w:val="02040503050406030204"/>
  </w:font>
  <w:font w:name="Calibri">
    <w:panose1 w:val="020F0502020204030204"/>
  </w:font>
  <w:font w:name="Cambria">
    <w:panose1 w:val="02040503050406030204"/>
  </w:font>
  <w:font w:name="Microsoft YaHei">
    <w:panose1 w:val="020B0503020203020204"/>
  </w:font>
  <w:font w:name="Times New Roman">
    <w:panose1 w:val="02020603050405020304"/>
  </w:font>
  <w:font w:name="Arial">
    <w:panose1 w:val="020B0604020202020204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0"/>
      <w:jc w:val="center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fldChar w:fldCharType="begin"/>
    </w:r>
    <w:r>
      <w:rPr>
        <w:rFonts w:ascii="Times New Roman" w:hAnsi="Times New Roman"/>
        <w:sz w:val="22"/>
      </w:rPr>
      <w:instrText xml:space="preserve"> PAGE   \* MERGEFORMAT </w:instrText>
    </w:r>
    <w:r>
      <w:rPr>
        <w:rFonts w:ascii="Times New Roman" w:hAnsi="Times New Roman"/>
        <w:sz w:val="22"/>
      </w:rPr>
      <w:fldChar w:fldCharType="separate"/>
    </w:r>
    <w:r>
      <w:rPr>
        <w:rFonts w:ascii="Times New Roman" w:hAnsi="Times New Roman"/>
        <w:sz w:val="22"/>
      </w:rPr>
      <w:t xml:space="preserve">5</w:t>
    </w:r>
    <w:r>
      <w:rPr>
        <w:rFonts w:ascii="Times New Roman" w:hAnsi="Times New Roman"/>
        <w:sz w:val="22"/>
      </w:rPr>
      <w:fldChar w:fldCharType="end"/>
    </w:r>
    <w:r>
      <w:rPr>
        <w:rFonts w:ascii="Times New Roman" w:hAnsi="Times New Roman"/>
        <w:sz w:val="22"/>
      </w:rPr>
    </w:r>
    <w:r>
      <w:rPr>
        <w:rFonts w:ascii="Times New Roman" w:hAnsi="Times New Roman"/>
        <w:sz w:val="22"/>
      </w:rPr>
    </w:r>
  </w:p>
  <w:p>
    <w:pPr>
      <w:pStyle w:val="820"/>
      <w:jc w:val="right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0"/>
      <w:jc w:val="center"/>
      <w:rPr>
        <w:rFonts w:ascii="Times New Roman" w:hAnsi="Times New Roman"/>
        <w:sz w:val="22"/>
      </w:rPr>
    </w:pPr>
    <w:r>
      <w:rPr>
        <w:rFonts w:ascii="Times New Roman" w:hAnsi="Times New Roman"/>
        <w:sz w:val="22"/>
      </w:rPr>
      <w:fldChar w:fldCharType="begin"/>
    </w:r>
    <w:r>
      <w:rPr>
        <w:rFonts w:ascii="Times New Roman" w:hAnsi="Times New Roman"/>
        <w:sz w:val="22"/>
      </w:rPr>
      <w:instrText xml:space="preserve"> PAGE </w:instrText>
    </w:r>
    <w:r>
      <w:rPr>
        <w:rFonts w:ascii="Times New Roman" w:hAnsi="Times New Roman"/>
        <w:sz w:val="22"/>
      </w:rPr>
      <w:fldChar w:fldCharType="separate"/>
    </w:r>
    <w:r>
      <w:rPr>
        <w:rFonts w:ascii="Times New Roman" w:hAnsi="Times New Roman"/>
        <w:sz w:val="22"/>
      </w:rPr>
      <w:t xml:space="preserve">2</w:t>
    </w:r>
    <w:r>
      <w:rPr>
        <w:rFonts w:ascii="Times New Roman" w:hAnsi="Times New Roman"/>
        <w:sz w:val="22"/>
      </w:rPr>
      <w:fldChar w:fldCharType="end"/>
    </w:r>
    <w:r>
      <w:rPr>
        <w:rFonts w:ascii="Times New Roman" w:hAnsi="Times New Roman"/>
        <w:sz w:val="22"/>
      </w:rPr>
    </w:r>
    <w:r>
      <w:rPr>
        <w:rFonts w:ascii="Times New Roman" w:hAnsi="Times New Roman"/>
        <w:sz w:val="2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1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228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640" w:hanging="72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40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000" w:hanging="1080"/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00" w:hanging="1080"/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360" w:hanging="1440"/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360" w:hanging="1440"/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20" w:hanging="1800"/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720" w:hanging="1800"/>
      </w:pPr>
      <w:rPr>
        <w:b w:val="0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0" w:firstLine="0"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32" w:hanging="432"/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0" w:firstLine="0"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436" w:hanging="360"/>
        <w:tabs>
          <w:tab w:val="num" w:pos="436" w:leader="none"/>
        </w:tabs>
      </w:pPr>
      <w:rPr>
        <w:rFonts w:ascii="Symbol" w:hAnsi="Symbol" w:cs="OpenSymbol"/>
      </w:rPr>
    </w:lvl>
    <w:lvl w:ilvl="1">
      <w:start w:val="1"/>
      <w:numFmt w:val="bullet"/>
      <w:isLgl w:val="false"/>
      <w:suff w:val="tab"/>
      <w:lvlText w:val="◦"/>
      <w:lvlJc w:val="left"/>
      <w:pPr>
        <w:ind w:left="796" w:hanging="360"/>
        <w:tabs>
          <w:tab w:val="num" w:pos="796" w:leader="none"/>
        </w:tabs>
      </w:pPr>
      <w:rPr>
        <w:rFonts w:ascii="OpenSymbol" w:hAnsi="OpenSymbol" w:cs="OpenSymbol"/>
      </w:rPr>
    </w:lvl>
    <w:lvl w:ilvl="2">
      <w:start w:val="1"/>
      <w:numFmt w:val="bullet"/>
      <w:isLgl w:val="false"/>
      <w:suff w:val="tab"/>
      <w:lvlText w:val="▪"/>
      <w:lvlJc w:val="left"/>
      <w:pPr>
        <w:ind w:left="1156" w:hanging="360"/>
        <w:tabs>
          <w:tab w:val="num" w:pos="1156" w:leader="none"/>
        </w:tabs>
      </w:pPr>
      <w:rPr>
        <w:rFonts w:ascii="OpenSymbol" w:hAnsi="OpenSymbol" w:cs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516" w:hanging="360"/>
        <w:tabs>
          <w:tab w:val="num" w:pos="1516" w:leader="none"/>
        </w:tabs>
      </w:pPr>
      <w:rPr>
        <w:rFonts w:ascii="Symbol" w:hAnsi="Symbol" w:cs="OpenSymbol"/>
      </w:rPr>
    </w:lvl>
    <w:lvl w:ilvl="4">
      <w:start w:val="1"/>
      <w:numFmt w:val="bullet"/>
      <w:isLgl w:val="false"/>
      <w:suff w:val="tab"/>
      <w:lvlText w:val="◦"/>
      <w:lvlJc w:val="left"/>
      <w:pPr>
        <w:ind w:left="1876" w:hanging="360"/>
        <w:tabs>
          <w:tab w:val="num" w:pos="1876" w:leader="none"/>
        </w:tabs>
      </w:pPr>
      <w:rPr>
        <w:rFonts w:ascii="OpenSymbol" w:hAnsi="OpenSymbol" w:cs="OpenSymbol"/>
      </w:rPr>
    </w:lvl>
    <w:lvl w:ilvl="5">
      <w:start w:val="1"/>
      <w:numFmt w:val="bullet"/>
      <w:isLgl w:val="false"/>
      <w:suff w:val="tab"/>
      <w:lvlText w:val="▪"/>
      <w:lvlJc w:val="left"/>
      <w:pPr>
        <w:ind w:left="2236" w:hanging="360"/>
        <w:tabs>
          <w:tab w:val="num" w:pos="2236" w:leader="none"/>
        </w:tabs>
      </w:pPr>
      <w:rPr>
        <w:rFonts w:ascii="OpenSymbol" w:hAnsi="OpenSymbol" w:cs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2596" w:hanging="360"/>
        <w:tabs>
          <w:tab w:val="num" w:pos="2596" w:leader="none"/>
        </w:tabs>
      </w:pPr>
      <w:rPr>
        <w:rFonts w:ascii="Symbol" w:hAnsi="Symbol" w:cs="OpenSymbol"/>
      </w:rPr>
    </w:lvl>
    <w:lvl w:ilvl="7">
      <w:start w:val="1"/>
      <w:numFmt w:val="bullet"/>
      <w:isLgl w:val="false"/>
      <w:suff w:val="tab"/>
      <w:lvlText w:val="◦"/>
      <w:lvlJc w:val="left"/>
      <w:pPr>
        <w:ind w:left="2956" w:hanging="360"/>
        <w:tabs>
          <w:tab w:val="num" w:pos="2956" w:leader="none"/>
        </w:tabs>
      </w:pPr>
      <w:rPr>
        <w:rFonts w:ascii="OpenSymbol" w:hAnsi="OpenSymbol" w:cs="OpenSymbol"/>
      </w:rPr>
    </w:lvl>
    <w:lvl w:ilvl="8">
      <w:start w:val="1"/>
      <w:numFmt w:val="bullet"/>
      <w:isLgl w:val="false"/>
      <w:suff w:val="tab"/>
      <w:lvlText w:val="▪"/>
      <w:lvlJc w:val="left"/>
      <w:pPr>
        <w:ind w:left="3316" w:hanging="360"/>
        <w:tabs>
          <w:tab w:val="num" w:pos="3316" w:leader="none"/>
        </w:tabs>
      </w:pPr>
      <w:rPr>
        <w:rFonts w:ascii="OpenSymbol" w:hAnsi="OpenSymbol" w:cs="OpenSymbol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1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436" w:hanging="360"/>
        <w:tabs>
          <w:tab w:val="num" w:pos="436" w:leader="none"/>
        </w:tabs>
      </w:pPr>
      <w:rPr>
        <w:rFonts w:ascii="Symbol" w:hAnsi="Symbol" w:cs="OpenSymbol"/>
      </w:rPr>
    </w:lvl>
    <w:lvl w:ilvl="1">
      <w:start w:val="1"/>
      <w:numFmt w:val="bullet"/>
      <w:isLgl w:val="false"/>
      <w:suff w:val="tab"/>
      <w:lvlText w:val="◦"/>
      <w:lvlJc w:val="left"/>
      <w:pPr>
        <w:ind w:left="796" w:hanging="360"/>
        <w:tabs>
          <w:tab w:val="num" w:pos="796" w:leader="none"/>
        </w:tabs>
      </w:pPr>
      <w:rPr>
        <w:rFonts w:ascii="OpenSymbol" w:hAnsi="OpenSymbol" w:cs="OpenSymbol"/>
      </w:rPr>
    </w:lvl>
    <w:lvl w:ilvl="2">
      <w:start w:val="1"/>
      <w:numFmt w:val="bullet"/>
      <w:isLgl w:val="false"/>
      <w:suff w:val="tab"/>
      <w:lvlText w:val="▪"/>
      <w:lvlJc w:val="left"/>
      <w:pPr>
        <w:ind w:left="1156" w:hanging="360"/>
        <w:tabs>
          <w:tab w:val="num" w:pos="1156" w:leader="none"/>
        </w:tabs>
      </w:pPr>
      <w:rPr>
        <w:rFonts w:ascii="OpenSymbol" w:hAnsi="OpenSymbol" w:cs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516" w:hanging="360"/>
        <w:tabs>
          <w:tab w:val="num" w:pos="1516" w:leader="none"/>
        </w:tabs>
      </w:pPr>
      <w:rPr>
        <w:rFonts w:ascii="Symbol" w:hAnsi="Symbol" w:cs="OpenSymbol"/>
      </w:rPr>
    </w:lvl>
    <w:lvl w:ilvl="4">
      <w:start w:val="1"/>
      <w:numFmt w:val="bullet"/>
      <w:isLgl w:val="false"/>
      <w:suff w:val="tab"/>
      <w:lvlText w:val="◦"/>
      <w:lvlJc w:val="left"/>
      <w:pPr>
        <w:ind w:left="1876" w:hanging="360"/>
        <w:tabs>
          <w:tab w:val="num" w:pos="1876" w:leader="none"/>
        </w:tabs>
      </w:pPr>
      <w:rPr>
        <w:rFonts w:ascii="OpenSymbol" w:hAnsi="OpenSymbol" w:cs="OpenSymbol"/>
      </w:rPr>
    </w:lvl>
    <w:lvl w:ilvl="5">
      <w:start w:val="1"/>
      <w:numFmt w:val="bullet"/>
      <w:isLgl w:val="false"/>
      <w:suff w:val="tab"/>
      <w:lvlText w:val="▪"/>
      <w:lvlJc w:val="left"/>
      <w:pPr>
        <w:ind w:left="2236" w:hanging="360"/>
        <w:tabs>
          <w:tab w:val="num" w:pos="2236" w:leader="none"/>
        </w:tabs>
      </w:pPr>
      <w:rPr>
        <w:rFonts w:ascii="OpenSymbol" w:hAnsi="OpenSymbol" w:cs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2596" w:hanging="360"/>
        <w:tabs>
          <w:tab w:val="num" w:pos="2596" w:leader="none"/>
        </w:tabs>
      </w:pPr>
      <w:rPr>
        <w:rFonts w:ascii="Symbol" w:hAnsi="Symbol" w:cs="OpenSymbol"/>
      </w:rPr>
    </w:lvl>
    <w:lvl w:ilvl="7">
      <w:start w:val="1"/>
      <w:numFmt w:val="bullet"/>
      <w:isLgl w:val="false"/>
      <w:suff w:val="tab"/>
      <w:lvlText w:val="◦"/>
      <w:lvlJc w:val="left"/>
      <w:pPr>
        <w:ind w:left="2956" w:hanging="360"/>
        <w:tabs>
          <w:tab w:val="num" w:pos="2956" w:leader="none"/>
        </w:tabs>
      </w:pPr>
      <w:rPr>
        <w:rFonts w:ascii="OpenSymbol" w:hAnsi="OpenSymbol" w:cs="OpenSymbol"/>
      </w:rPr>
    </w:lvl>
    <w:lvl w:ilvl="8">
      <w:start w:val="1"/>
      <w:numFmt w:val="bullet"/>
      <w:isLgl w:val="false"/>
      <w:suff w:val="tab"/>
      <w:lvlText w:val="▪"/>
      <w:lvlJc w:val="left"/>
      <w:pPr>
        <w:ind w:left="3316" w:hanging="360"/>
        <w:tabs>
          <w:tab w:val="num" w:pos="3316" w:leader="none"/>
        </w:tabs>
      </w:pPr>
      <w:rPr>
        <w:rFonts w:ascii="OpenSymbol" w:hAnsi="OpenSymbol" w:cs="OpenSymbol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1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1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22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640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2640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3000" w:hanging="108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3000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3360" w:hanging="144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3360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720" w:hanging="180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720" w:hanging="1800"/>
      </w:pPr>
      <w:rPr>
        <w:rFonts w:hint="default"/>
        <w:b w:val="0"/>
      </w:r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525" w:hanging="525"/>
      </w:pPr>
      <w:rPr>
        <w:sz w:val="25"/>
      </w:rPr>
    </w:lvl>
    <w:lvl w:ilvl="1">
      <w:start w:val="1"/>
      <w:numFmt w:val="decimal"/>
      <w:isLgl w:val="false"/>
      <w:suff w:val="tab"/>
      <w:lvlText w:val="%1.%2"/>
      <w:lvlJc w:val="left"/>
      <w:pPr>
        <w:ind w:left="741" w:hanging="525"/>
      </w:pPr>
      <w:rPr>
        <w:sz w:val="25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52" w:hanging="720"/>
      </w:pPr>
      <w:rPr>
        <w:sz w:val="25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368" w:hanging="720"/>
      </w:pPr>
      <w:rPr>
        <w:sz w:val="25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944" w:hanging="1080"/>
      </w:pPr>
      <w:rPr>
        <w:sz w:val="25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160" w:hanging="1080"/>
      </w:pPr>
      <w:rPr>
        <w:sz w:val="25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736" w:hanging="1440"/>
      </w:pPr>
      <w:rPr>
        <w:sz w:val="25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952" w:hanging="1440"/>
      </w:pPr>
      <w:rPr>
        <w:sz w:val="25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528" w:hanging="1800"/>
      </w:pPr>
      <w:rPr>
        <w:sz w:val="25"/>
      </w:rPr>
    </w:lvl>
  </w:abstractNum>
  <w:abstractNum w:abstractNumId="15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</w:lvl>
    <w:lvl w:ilvl="1">
      <w:start w:val="1"/>
      <w:numFmt w:val="decimal"/>
      <w:pStyle w:val="772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decimal"/>
      <w:pStyle w:val="773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pStyle w:val="774"/>
      <w:isLgl w:val="false"/>
      <w:suff w:val="nothing"/>
      <w:lvlText w:val=""/>
      <w:lvlJc w:val="left"/>
      <w:pPr>
        <w:ind w:left="864" w:hanging="864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1296" w:hanging="1296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1584" w:hanging="1584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436" w:hanging="360"/>
        <w:tabs>
          <w:tab w:val="num" w:pos="436" w:leader="none"/>
        </w:tabs>
      </w:pPr>
      <w:rPr>
        <w:rFonts w:ascii="Symbol" w:hAnsi="Symbol" w:cs="OpenSymbol"/>
      </w:rPr>
    </w:lvl>
    <w:lvl w:ilvl="1">
      <w:start w:val="1"/>
      <w:numFmt w:val="bullet"/>
      <w:isLgl w:val="false"/>
      <w:suff w:val="tab"/>
      <w:lvlText w:val="◦"/>
      <w:lvlJc w:val="left"/>
      <w:pPr>
        <w:ind w:left="796" w:hanging="360"/>
        <w:tabs>
          <w:tab w:val="num" w:pos="796" w:leader="none"/>
        </w:tabs>
      </w:pPr>
      <w:rPr>
        <w:rFonts w:ascii="OpenSymbol" w:hAnsi="OpenSymbol" w:cs="OpenSymbol"/>
      </w:rPr>
    </w:lvl>
    <w:lvl w:ilvl="2">
      <w:start w:val="1"/>
      <w:numFmt w:val="bullet"/>
      <w:isLgl w:val="false"/>
      <w:suff w:val="tab"/>
      <w:lvlText w:val="▪"/>
      <w:lvlJc w:val="left"/>
      <w:pPr>
        <w:ind w:left="1156" w:hanging="360"/>
        <w:tabs>
          <w:tab w:val="num" w:pos="1156" w:leader="none"/>
        </w:tabs>
      </w:pPr>
      <w:rPr>
        <w:rFonts w:ascii="OpenSymbol" w:hAnsi="OpenSymbol" w:cs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516" w:hanging="360"/>
        <w:tabs>
          <w:tab w:val="num" w:pos="1516" w:leader="none"/>
        </w:tabs>
      </w:pPr>
      <w:rPr>
        <w:rFonts w:ascii="Symbol" w:hAnsi="Symbol" w:cs="OpenSymbol"/>
      </w:rPr>
    </w:lvl>
    <w:lvl w:ilvl="4">
      <w:start w:val="1"/>
      <w:numFmt w:val="bullet"/>
      <w:isLgl w:val="false"/>
      <w:suff w:val="tab"/>
      <w:lvlText w:val="◦"/>
      <w:lvlJc w:val="left"/>
      <w:pPr>
        <w:ind w:left="1876" w:hanging="360"/>
        <w:tabs>
          <w:tab w:val="num" w:pos="1876" w:leader="none"/>
        </w:tabs>
      </w:pPr>
      <w:rPr>
        <w:rFonts w:ascii="OpenSymbol" w:hAnsi="OpenSymbol" w:cs="OpenSymbol"/>
      </w:rPr>
    </w:lvl>
    <w:lvl w:ilvl="5">
      <w:start w:val="1"/>
      <w:numFmt w:val="bullet"/>
      <w:isLgl w:val="false"/>
      <w:suff w:val="tab"/>
      <w:lvlText w:val="▪"/>
      <w:lvlJc w:val="left"/>
      <w:pPr>
        <w:ind w:left="2236" w:hanging="360"/>
        <w:tabs>
          <w:tab w:val="num" w:pos="2236" w:leader="none"/>
        </w:tabs>
      </w:pPr>
      <w:rPr>
        <w:rFonts w:ascii="OpenSymbol" w:hAnsi="OpenSymbol" w:cs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2596" w:hanging="360"/>
        <w:tabs>
          <w:tab w:val="num" w:pos="2596" w:leader="none"/>
        </w:tabs>
      </w:pPr>
      <w:rPr>
        <w:rFonts w:ascii="Symbol" w:hAnsi="Symbol" w:cs="OpenSymbol"/>
      </w:rPr>
    </w:lvl>
    <w:lvl w:ilvl="7">
      <w:start w:val="1"/>
      <w:numFmt w:val="bullet"/>
      <w:isLgl w:val="false"/>
      <w:suff w:val="tab"/>
      <w:lvlText w:val="◦"/>
      <w:lvlJc w:val="left"/>
      <w:pPr>
        <w:ind w:left="2956" w:hanging="360"/>
        <w:tabs>
          <w:tab w:val="num" w:pos="2956" w:leader="none"/>
        </w:tabs>
      </w:pPr>
      <w:rPr>
        <w:rFonts w:ascii="OpenSymbol" w:hAnsi="OpenSymbol" w:cs="OpenSymbol"/>
      </w:rPr>
    </w:lvl>
    <w:lvl w:ilvl="8">
      <w:start w:val="1"/>
      <w:numFmt w:val="bullet"/>
      <w:isLgl w:val="false"/>
      <w:suff w:val="tab"/>
      <w:lvlText w:val="▪"/>
      <w:lvlJc w:val="left"/>
      <w:pPr>
        <w:ind w:left="3316" w:hanging="360"/>
        <w:tabs>
          <w:tab w:val="num" w:pos="3316" w:leader="none"/>
        </w:tabs>
      </w:pPr>
      <w:rPr>
        <w:rFonts w:ascii="OpenSymbol" w:hAnsi="OpenSymbol" w:cs="OpenSymbol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cs="Times New Roman"/>
      </w:rPr>
    </w:lvl>
    <w:lvl w:ilvl="1">
      <w:start w:val="1"/>
      <w:numFmt w:val="bullet"/>
      <w:isLgl w:val="false"/>
      <w:suff w:val="tab"/>
      <w:lvlText w:val="◦"/>
      <w:lvlJc w:val="left"/>
      <w:pPr>
        <w:ind w:left="1080" w:hanging="360"/>
        <w:tabs>
          <w:tab w:val="num" w:pos="1080" w:leader="none"/>
        </w:tabs>
      </w:pPr>
      <w:rPr>
        <w:rFonts w:ascii="OpenSymbol" w:hAnsi="OpenSymbol" w:cs="OpenSymbol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360"/>
        <w:tabs>
          <w:tab w:val="num" w:pos="1440" w:leader="none"/>
        </w:tabs>
      </w:pPr>
      <w:rPr>
        <w:rFonts w:ascii="OpenSymbol" w:hAnsi="OpenSymbol" w:cs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ascii="Symbol" w:hAnsi="Symbol" w:cs="Times New Roman"/>
      </w:rPr>
    </w:lvl>
    <w:lvl w:ilvl="4">
      <w:start w:val="1"/>
      <w:numFmt w:val="bullet"/>
      <w:isLgl w:val="false"/>
      <w:suff w:val="tab"/>
      <w:lvlText w:val="◦"/>
      <w:lvlJc w:val="left"/>
      <w:pPr>
        <w:ind w:left="2160" w:hanging="360"/>
        <w:tabs>
          <w:tab w:val="num" w:pos="2160" w:leader="none"/>
        </w:tabs>
      </w:pPr>
      <w:rPr>
        <w:rFonts w:ascii="OpenSymbol" w:hAnsi="OpenSymbol" w:cs="OpenSymbol"/>
      </w:rPr>
    </w:lvl>
    <w:lvl w:ilvl="5">
      <w:start w:val="1"/>
      <w:numFmt w:val="bullet"/>
      <w:isLgl w:val="false"/>
      <w:suff w:val="tab"/>
      <w:lvlText w:val="▪"/>
      <w:lvlJc w:val="left"/>
      <w:pPr>
        <w:ind w:left="2520" w:hanging="360"/>
        <w:tabs>
          <w:tab w:val="num" w:pos="2520" w:leader="none"/>
        </w:tabs>
      </w:pPr>
      <w:rPr>
        <w:rFonts w:ascii="OpenSymbol" w:hAnsi="OpenSymbol" w:cs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Times New Roman"/>
      </w:rPr>
    </w:lvl>
    <w:lvl w:ilvl="7">
      <w:start w:val="1"/>
      <w:numFmt w:val="bullet"/>
      <w:isLgl w:val="false"/>
      <w:suff w:val="tab"/>
      <w:lvlText w:val="◦"/>
      <w:lvlJc w:val="left"/>
      <w:pPr>
        <w:ind w:left="3240" w:hanging="360"/>
        <w:tabs>
          <w:tab w:val="num" w:pos="3240" w:leader="none"/>
        </w:tabs>
      </w:pPr>
      <w:rPr>
        <w:rFonts w:ascii="OpenSymbol" w:hAnsi="OpenSymbol" w:cs="OpenSymbol"/>
      </w:rPr>
    </w:lvl>
    <w:lvl w:ilvl="8">
      <w:start w:val="1"/>
      <w:numFmt w:val="bullet"/>
      <w:isLgl w:val="false"/>
      <w:suff w:val="tab"/>
      <w:lvlText w:val="▪"/>
      <w:lvlJc w:val="left"/>
      <w:pPr>
        <w:ind w:left="3600" w:hanging="360"/>
        <w:tabs>
          <w:tab w:val="num" w:pos="3600" w:leader="none"/>
        </w:tabs>
      </w:pPr>
      <w:rPr>
        <w:rFonts w:ascii="OpenSymbol" w:hAnsi="OpenSymbol" w:cs="OpenSymbol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436" w:hanging="360"/>
        <w:tabs>
          <w:tab w:val="num" w:pos="436" w:leader="none"/>
        </w:tabs>
      </w:pPr>
      <w:rPr>
        <w:rFonts w:ascii="Symbol" w:hAnsi="Symbol" w:cs="OpenSymbol"/>
      </w:rPr>
    </w:lvl>
    <w:lvl w:ilvl="1">
      <w:start w:val="1"/>
      <w:numFmt w:val="bullet"/>
      <w:isLgl w:val="false"/>
      <w:suff w:val="tab"/>
      <w:lvlText w:val="◦"/>
      <w:lvlJc w:val="left"/>
      <w:pPr>
        <w:ind w:left="796" w:hanging="360"/>
        <w:tabs>
          <w:tab w:val="num" w:pos="796" w:leader="none"/>
        </w:tabs>
      </w:pPr>
      <w:rPr>
        <w:rFonts w:ascii="OpenSymbol" w:hAnsi="OpenSymbol" w:cs="OpenSymbol"/>
      </w:rPr>
    </w:lvl>
    <w:lvl w:ilvl="2">
      <w:start w:val="1"/>
      <w:numFmt w:val="bullet"/>
      <w:isLgl w:val="false"/>
      <w:suff w:val="tab"/>
      <w:lvlText w:val="▪"/>
      <w:lvlJc w:val="left"/>
      <w:pPr>
        <w:ind w:left="1156" w:hanging="360"/>
        <w:tabs>
          <w:tab w:val="num" w:pos="1156" w:leader="none"/>
        </w:tabs>
      </w:pPr>
      <w:rPr>
        <w:rFonts w:ascii="OpenSymbol" w:hAnsi="OpenSymbol" w:cs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516" w:hanging="360"/>
        <w:tabs>
          <w:tab w:val="num" w:pos="1516" w:leader="none"/>
        </w:tabs>
      </w:pPr>
      <w:rPr>
        <w:rFonts w:ascii="Symbol" w:hAnsi="Symbol" w:cs="OpenSymbol"/>
      </w:rPr>
    </w:lvl>
    <w:lvl w:ilvl="4">
      <w:start w:val="1"/>
      <w:numFmt w:val="bullet"/>
      <w:isLgl w:val="false"/>
      <w:suff w:val="tab"/>
      <w:lvlText w:val="◦"/>
      <w:lvlJc w:val="left"/>
      <w:pPr>
        <w:ind w:left="1876" w:hanging="360"/>
        <w:tabs>
          <w:tab w:val="num" w:pos="1876" w:leader="none"/>
        </w:tabs>
      </w:pPr>
      <w:rPr>
        <w:rFonts w:ascii="OpenSymbol" w:hAnsi="OpenSymbol" w:cs="OpenSymbol"/>
      </w:rPr>
    </w:lvl>
    <w:lvl w:ilvl="5">
      <w:start w:val="1"/>
      <w:numFmt w:val="bullet"/>
      <w:isLgl w:val="false"/>
      <w:suff w:val="tab"/>
      <w:lvlText w:val="▪"/>
      <w:lvlJc w:val="left"/>
      <w:pPr>
        <w:ind w:left="2236" w:hanging="360"/>
        <w:tabs>
          <w:tab w:val="num" w:pos="2236" w:leader="none"/>
        </w:tabs>
      </w:pPr>
      <w:rPr>
        <w:rFonts w:ascii="OpenSymbol" w:hAnsi="OpenSymbol" w:cs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2596" w:hanging="360"/>
        <w:tabs>
          <w:tab w:val="num" w:pos="2596" w:leader="none"/>
        </w:tabs>
      </w:pPr>
      <w:rPr>
        <w:rFonts w:ascii="Symbol" w:hAnsi="Symbol" w:cs="OpenSymbol"/>
      </w:rPr>
    </w:lvl>
    <w:lvl w:ilvl="7">
      <w:start w:val="1"/>
      <w:numFmt w:val="bullet"/>
      <w:isLgl w:val="false"/>
      <w:suff w:val="tab"/>
      <w:lvlText w:val="◦"/>
      <w:lvlJc w:val="left"/>
      <w:pPr>
        <w:ind w:left="2956" w:hanging="360"/>
        <w:tabs>
          <w:tab w:val="num" w:pos="2956" w:leader="none"/>
        </w:tabs>
      </w:pPr>
      <w:rPr>
        <w:rFonts w:ascii="OpenSymbol" w:hAnsi="OpenSymbol" w:cs="OpenSymbol"/>
      </w:rPr>
    </w:lvl>
    <w:lvl w:ilvl="8">
      <w:start w:val="1"/>
      <w:numFmt w:val="bullet"/>
      <w:isLgl w:val="false"/>
      <w:suff w:val="tab"/>
      <w:lvlText w:val="▪"/>
      <w:lvlJc w:val="left"/>
      <w:pPr>
        <w:ind w:left="3316" w:hanging="360"/>
        <w:tabs>
          <w:tab w:val="num" w:pos="3316" w:leader="none"/>
        </w:tabs>
      </w:pPr>
      <w:rPr>
        <w:rFonts w:ascii="OpenSymbol" w:hAnsi="OpenSymbol" w:cs="OpenSymbol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1788" w:hanging="1080"/>
      </w:pPr>
      <w:rPr>
        <w:rFonts w:hint="default"/>
        <w:b/>
      </w:rPr>
    </w:lvl>
    <w:lvl w:ilvl="2">
      <w:start w:val="1"/>
      <w:numFmt w:val="decimal"/>
      <w:isLgl/>
      <w:suff w:val="tab"/>
      <w:lvlText w:val="%1.%2.%3"/>
      <w:lvlJc w:val="left"/>
      <w:pPr>
        <w:ind w:left="1788" w:hanging="1080"/>
      </w:pPr>
      <w:rPr>
        <w:rFonts w:hint="default"/>
        <w:b/>
      </w:rPr>
    </w:lvl>
    <w:lvl w:ilvl="3">
      <w:start w:val="1"/>
      <w:numFmt w:val="decimal"/>
      <w:isLgl/>
      <w:suff w:val="tab"/>
      <w:lvlText w:val="%1.%2.%3.%4"/>
      <w:lvlJc w:val="left"/>
      <w:pPr>
        <w:ind w:left="1788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508" w:hanging="1800"/>
      </w:pPr>
      <w:rPr>
        <w:rFonts w:hint="default"/>
        <w:b/>
      </w:r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1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2"/>
  </w:num>
  <w:num w:numId="3">
    <w:abstractNumId w:val="9"/>
  </w:num>
  <w:num w:numId="4">
    <w:abstractNumId w:val="19"/>
  </w:num>
  <w:num w:numId="5">
    <w:abstractNumId w:val="20"/>
  </w:num>
  <w:num w:numId="6">
    <w:abstractNumId w:val="12"/>
  </w:num>
  <w:num w:numId="7">
    <w:abstractNumId w:val="18"/>
  </w:num>
  <w:num w:numId="8">
    <w:abstractNumId w:val="6"/>
  </w:num>
  <w:num w:numId="9">
    <w:abstractNumId w:val="28"/>
  </w:num>
  <w:num w:numId="10">
    <w:abstractNumId w:val="10"/>
  </w:num>
  <w:num w:numId="11">
    <w:abstractNumId w:val="30"/>
  </w:num>
  <w:num w:numId="12">
    <w:abstractNumId w:val="16"/>
  </w:num>
  <w:num w:numId="13">
    <w:abstractNumId w:val="24"/>
  </w:num>
  <w:num w:numId="14">
    <w:abstractNumId w:val="21"/>
  </w:num>
  <w:num w:numId="15">
    <w:abstractNumId w:val="3"/>
  </w:num>
  <w:num w:numId="16">
    <w:abstractNumId w:val="14"/>
  </w:num>
  <w:num w:numId="17">
    <w:abstractNumId w:val="1"/>
  </w:num>
  <w:num w:numId="18">
    <w:abstractNumId w:val="11"/>
  </w:num>
  <w:num w:numId="19">
    <w:abstractNumId w:val="4"/>
  </w:num>
  <w:num w:numId="20">
    <w:abstractNumId w:val="2"/>
  </w:num>
  <w:num w:numId="21">
    <w:abstractNumId w:val="17"/>
  </w:num>
  <w:num w:numId="22">
    <w:abstractNumId w:val="25"/>
  </w:num>
  <w:num w:numId="23">
    <w:abstractNumId w:val="26"/>
  </w:num>
  <w:num w:numId="24">
    <w:abstractNumId w:val="5"/>
  </w:num>
  <w:num w:numId="25">
    <w:abstractNumId w:val="27"/>
  </w:num>
  <w:num w:numId="26">
    <w:abstractNumId w:val="7"/>
  </w:num>
  <w:num w:numId="27">
    <w:abstractNumId w:val="23"/>
  </w:num>
  <w:num w:numId="28">
    <w:abstractNumId w:val="13"/>
  </w:num>
  <w:num w:numId="29">
    <w:abstractNumId w:val="8"/>
  </w:num>
  <w:num w:numId="30">
    <w:abstractNumId w:val="0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51">
    <w:name w:val="Plain Table 1"/>
    <w:basedOn w:val="7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52">
    <w:name w:val="Plain Table 2"/>
    <w:basedOn w:val="7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53">
    <w:name w:val="Plain Table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4">
    <w:name w:val="Plain Table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Plain Table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6">
    <w:name w:val="Grid Table 1 Light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4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0">
    <w:name w:val="Grid Table 5 Dark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1">
    <w:name w:val="Grid Table 6 Colorful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62">
    <w:name w:val="Grid Table 7 Colorful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5">
    <w:name w:val="List Table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5 Dark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8">
    <w:name w:val="List Table 6 Colorful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9">
    <w:name w:val="List Table 7 Colorful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paragraph" w:styleId="770" w:default="1">
    <w:name w:val="Normal"/>
    <w:qFormat/>
    <w:pPr>
      <w:spacing w:line="100" w:lineRule="atLeast"/>
    </w:pPr>
    <w:rPr>
      <w:rFonts w:ascii="Arial" w:hAnsi="Arial"/>
      <w:sz w:val="24"/>
      <w:szCs w:val="24"/>
      <w:lang w:eastAsia="ar-SA"/>
    </w:rPr>
  </w:style>
  <w:style w:type="paragraph" w:styleId="771">
    <w:name w:val="Heading 1"/>
    <w:basedOn w:val="770"/>
    <w:next w:val="1031"/>
    <w:link w:val="801"/>
    <w:qFormat/>
    <w:pPr>
      <w:jc w:val="center"/>
      <w:keepNext/>
      <w:spacing w:before="240" w:after="60"/>
      <w:outlineLvl w:val="0"/>
    </w:pPr>
    <w:rPr>
      <w:rFonts w:ascii="Times New Roman" w:hAnsi="Times New Roman"/>
      <w:b/>
      <w:sz w:val="28"/>
      <w:szCs w:val="20"/>
    </w:rPr>
  </w:style>
  <w:style w:type="paragraph" w:styleId="772">
    <w:name w:val="Heading 2"/>
    <w:basedOn w:val="770"/>
    <w:next w:val="1031"/>
    <w:link w:val="802"/>
    <w:qFormat/>
    <w:pPr>
      <w:numPr>
        <w:ilvl w:val="1"/>
        <w:numId w:val="1"/>
      </w:num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773">
    <w:name w:val="Heading 3"/>
    <w:basedOn w:val="770"/>
    <w:next w:val="1031"/>
    <w:link w:val="803"/>
    <w:qFormat/>
    <w:pPr>
      <w:numPr>
        <w:ilvl w:val="2"/>
        <w:numId w:val="1"/>
      </w:num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774">
    <w:name w:val="Heading 4"/>
    <w:basedOn w:val="770"/>
    <w:next w:val="1031"/>
    <w:link w:val="804"/>
    <w:qFormat/>
    <w:pPr>
      <w:numPr>
        <w:ilvl w:val="3"/>
        <w:numId w:val="1"/>
      </w:num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775">
    <w:name w:val="Heading 5"/>
    <w:basedOn w:val="770"/>
    <w:next w:val="770"/>
    <w:link w:val="80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</w:rPr>
  </w:style>
  <w:style w:type="paragraph" w:styleId="776">
    <w:name w:val="Heading 6"/>
    <w:basedOn w:val="770"/>
    <w:next w:val="770"/>
    <w:link w:val="80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77">
    <w:name w:val="Heading 7"/>
    <w:basedOn w:val="770"/>
    <w:next w:val="770"/>
    <w:link w:val="80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78">
    <w:name w:val="Heading 8"/>
    <w:basedOn w:val="770"/>
    <w:next w:val="770"/>
    <w:link w:val="808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79">
    <w:name w:val="Heading 9"/>
    <w:basedOn w:val="770"/>
    <w:next w:val="770"/>
    <w:link w:val="809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80" w:default="1">
    <w:name w:val="Default Paragraph Font"/>
    <w:uiPriority w:val="1"/>
    <w:semiHidden/>
    <w:unhideWhenUsed/>
  </w:style>
  <w:style w:type="table" w:styleId="7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2" w:default="1">
    <w:name w:val="No List"/>
    <w:uiPriority w:val="99"/>
    <w:semiHidden/>
    <w:unhideWhenUsed/>
  </w:style>
  <w:style w:type="character" w:styleId="783" w:customStyle="1">
    <w:name w:val="Heading 1 Char"/>
    <w:basedOn w:val="780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84" w:customStyle="1">
    <w:name w:val="Heading 2 Char"/>
    <w:basedOn w:val="780"/>
    <w:uiPriority w:val="9"/>
    <w:rPr>
      <w:rFonts w:ascii="Liberation Sans" w:hAnsi="Liberation Sans" w:eastAsia="Liberation Sans" w:cs="Liberation Sans"/>
      <w:sz w:val="34"/>
    </w:rPr>
  </w:style>
  <w:style w:type="character" w:styleId="785" w:customStyle="1">
    <w:name w:val="Heading 3 Char"/>
    <w:basedOn w:val="780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86" w:customStyle="1">
    <w:name w:val="Heading 4 Char"/>
    <w:basedOn w:val="78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87" w:customStyle="1">
    <w:name w:val="Heading 5 Char"/>
    <w:basedOn w:val="780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88" w:customStyle="1">
    <w:name w:val="Heading 6 Char"/>
    <w:basedOn w:val="78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89" w:customStyle="1">
    <w:name w:val="Heading 7 Char"/>
    <w:basedOn w:val="78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90" w:customStyle="1">
    <w:name w:val="Heading 8 Char"/>
    <w:basedOn w:val="780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91" w:customStyle="1">
    <w:name w:val="Heading 9 Char"/>
    <w:basedOn w:val="78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92" w:customStyle="1">
    <w:name w:val="Title Char"/>
    <w:basedOn w:val="780"/>
    <w:uiPriority w:val="10"/>
    <w:rPr>
      <w:sz w:val="48"/>
      <w:szCs w:val="48"/>
    </w:rPr>
  </w:style>
  <w:style w:type="character" w:styleId="793" w:customStyle="1">
    <w:name w:val="Subtitle Char"/>
    <w:basedOn w:val="780"/>
    <w:uiPriority w:val="11"/>
    <w:rPr>
      <w:sz w:val="24"/>
      <w:szCs w:val="24"/>
    </w:rPr>
  </w:style>
  <w:style w:type="character" w:styleId="794" w:customStyle="1">
    <w:name w:val="Quote Char"/>
    <w:uiPriority w:val="29"/>
    <w:rPr>
      <w:i/>
    </w:rPr>
  </w:style>
  <w:style w:type="character" w:styleId="795" w:customStyle="1">
    <w:name w:val="Intense Quote Char"/>
    <w:uiPriority w:val="30"/>
    <w:rPr>
      <w:i/>
    </w:rPr>
  </w:style>
  <w:style w:type="character" w:styleId="796" w:customStyle="1">
    <w:name w:val="Header Char"/>
    <w:basedOn w:val="780"/>
    <w:uiPriority w:val="99"/>
  </w:style>
  <w:style w:type="character" w:styleId="797" w:customStyle="1">
    <w:name w:val="Footer Char"/>
    <w:basedOn w:val="780"/>
    <w:uiPriority w:val="99"/>
  </w:style>
  <w:style w:type="character" w:styleId="798" w:customStyle="1">
    <w:name w:val="Caption Char"/>
    <w:basedOn w:val="780"/>
    <w:uiPriority w:val="35"/>
    <w:rPr>
      <w:b/>
      <w:bCs/>
      <w:color w:val="4f81bd" w:themeColor="accent1"/>
      <w:sz w:val="18"/>
      <w:szCs w:val="18"/>
    </w:rPr>
  </w:style>
  <w:style w:type="character" w:styleId="799" w:customStyle="1">
    <w:name w:val="Footnote Text Char"/>
    <w:uiPriority w:val="99"/>
    <w:rPr>
      <w:sz w:val="18"/>
    </w:rPr>
  </w:style>
  <w:style w:type="character" w:styleId="800" w:customStyle="1">
    <w:name w:val="Endnote Text Char"/>
    <w:uiPriority w:val="99"/>
    <w:rPr>
      <w:sz w:val="20"/>
    </w:rPr>
  </w:style>
  <w:style w:type="character" w:styleId="801" w:customStyle="1">
    <w:name w:val="Заголовок 1 Знак1"/>
    <w:basedOn w:val="780"/>
    <w:link w:val="771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02" w:customStyle="1">
    <w:name w:val="Заголовок 2 Знак1"/>
    <w:basedOn w:val="780"/>
    <w:link w:val="772"/>
    <w:uiPriority w:val="9"/>
    <w:rPr>
      <w:rFonts w:ascii="Liberation Sans" w:hAnsi="Liberation Sans" w:eastAsia="Liberation Sans" w:cs="Liberation Sans"/>
      <w:sz w:val="34"/>
    </w:rPr>
  </w:style>
  <w:style w:type="character" w:styleId="803" w:customStyle="1">
    <w:name w:val="Заголовок 3 Знак1"/>
    <w:basedOn w:val="780"/>
    <w:link w:val="773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04" w:customStyle="1">
    <w:name w:val="Заголовок 4 Знак1"/>
    <w:basedOn w:val="780"/>
    <w:link w:val="77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05" w:customStyle="1">
    <w:name w:val="Заголовок 5 Знак"/>
    <w:basedOn w:val="780"/>
    <w:link w:val="77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06" w:customStyle="1">
    <w:name w:val="Заголовок 6 Знак"/>
    <w:basedOn w:val="780"/>
    <w:link w:val="77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07" w:customStyle="1">
    <w:name w:val="Заголовок 7 Знак"/>
    <w:basedOn w:val="780"/>
    <w:link w:val="77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08" w:customStyle="1">
    <w:name w:val="Заголовок 8 Знак"/>
    <w:basedOn w:val="780"/>
    <w:link w:val="77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09" w:customStyle="1">
    <w:name w:val="Заголовок 9 Знак"/>
    <w:basedOn w:val="780"/>
    <w:link w:val="77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810">
    <w:name w:val="Title"/>
    <w:basedOn w:val="770"/>
    <w:next w:val="1031"/>
    <w:link w:val="811"/>
    <w:pPr>
      <w:keepNext/>
      <w:spacing w:before="240" w:after="120"/>
    </w:pPr>
    <w:rPr>
      <w:rFonts w:eastAsia="Microsoft YaHei" w:cs="Mangal"/>
      <w:sz w:val="28"/>
      <w:szCs w:val="28"/>
    </w:rPr>
  </w:style>
  <w:style w:type="character" w:styleId="811" w:customStyle="1">
    <w:name w:val="Заголовок Знак"/>
    <w:basedOn w:val="780"/>
    <w:link w:val="810"/>
    <w:uiPriority w:val="10"/>
    <w:rPr>
      <w:sz w:val="48"/>
      <w:szCs w:val="48"/>
    </w:rPr>
  </w:style>
  <w:style w:type="paragraph" w:styleId="812">
    <w:name w:val="Subtitle"/>
    <w:basedOn w:val="770"/>
    <w:next w:val="770"/>
    <w:link w:val="813"/>
    <w:uiPriority w:val="11"/>
    <w:qFormat/>
    <w:pPr>
      <w:spacing w:before="200" w:after="200"/>
    </w:pPr>
  </w:style>
  <w:style w:type="character" w:styleId="813" w:customStyle="1">
    <w:name w:val="Подзаголовок Знак"/>
    <w:basedOn w:val="780"/>
    <w:link w:val="812"/>
    <w:uiPriority w:val="11"/>
    <w:rPr>
      <w:sz w:val="24"/>
      <w:szCs w:val="24"/>
    </w:rPr>
  </w:style>
  <w:style w:type="paragraph" w:styleId="814">
    <w:name w:val="Quote"/>
    <w:basedOn w:val="770"/>
    <w:next w:val="770"/>
    <w:link w:val="815"/>
    <w:uiPriority w:val="29"/>
    <w:qFormat/>
    <w:pPr>
      <w:ind w:left="720" w:right="720"/>
    </w:pPr>
    <w:rPr>
      <w:i/>
    </w:rPr>
  </w:style>
  <w:style w:type="character" w:styleId="815" w:customStyle="1">
    <w:name w:val="Цитата 2 Знак"/>
    <w:link w:val="814"/>
    <w:uiPriority w:val="29"/>
    <w:rPr>
      <w:i/>
    </w:rPr>
  </w:style>
  <w:style w:type="paragraph" w:styleId="816">
    <w:name w:val="Intense Quote"/>
    <w:basedOn w:val="770"/>
    <w:next w:val="770"/>
    <w:link w:val="81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7" w:customStyle="1">
    <w:name w:val="Выделенная цитата Знак"/>
    <w:link w:val="816"/>
    <w:uiPriority w:val="30"/>
    <w:rPr>
      <w:i/>
    </w:rPr>
  </w:style>
  <w:style w:type="paragraph" w:styleId="818">
    <w:name w:val="Header"/>
    <w:basedOn w:val="770"/>
    <w:link w:val="819"/>
    <w:pPr>
      <w:tabs>
        <w:tab w:val="center" w:pos="4677" w:leader="none"/>
        <w:tab w:val="right" w:pos="9355" w:leader="none"/>
      </w:tabs>
      <w:suppressLineNumbers/>
    </w:pPr>
  </w:style>
  <w:style w:type="character" w:styleId="819" w:customStyle="1">
    <w:name w:val="Верхний колонтитул Знак1"/>
    <w:basedOn w:val="780"/>
    <w:link w:val="818"/>
    <w:uiPriority w:val="99"/>
  </w:style>
  <w:style w:type="paragraph" w:styleId="820">
    <w:name w:val="Footer"/>
    <w:basedOn w:val="770"/>
    <w:link w:val="821"/>
    <w:uiPriority w:val="99"/>
    <w:pPr>
      <w:tabs>
        <w:tab w:val="center" w:pos="4677" w:leader="none"/>
        <w:tab w:val="right" w:pos="9355" w:leader="none"/>
      </w:tabs>
      <w:suppressLineNumbers/>
    </w:pPr>
  </w:style>
  <w:style w:type="character" w:styleId="821" w:customStyle="1">
    <w:name w:val="Нижний колонтитул Знак1"/>
    <w:basedOn w:val="780"/>
    <w:link w:val="820"/>
    <w:uiPriority w:val="99"/>
  </w:style>
  <w:style w:type="paragraph" w:styleId="822">
    <w:name w:val="Caption"/>
    <w:basedOn w:val="770"/>
    <w:next w:val="770"/>
    <w:link w:val="8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23" w:customStyle="1">
    <w:name w:val="Название объекта Знак"/>
    <w:basedOn w:val="780"/>
    <w:link w:val="822"/>
    <w:uiPriority w:val="35"/>
    <w:rPr>
      <w:b/>
      <w:bCs/>
      <w:color w:val="4f81bd" w:themeColor="accent1"/>
      <w:sz w:val="18"/>
      <w:szCs w:val="18"/>
    </w:rPr>
  </w:style>
  <w:style w:type="table" w:styleId="824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5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6" w:customStyle="1">
    <w:name w:val="Таблица простая 1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27" w:customStyle="1">
    <w:name w:val="Таблица простая 2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28" w:customStyle="1">
    <w:name w:val="Таблица простая 3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9" w:customStyle="1">
    <w:name w:val="Таблица простая 4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Таблица простая 5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1" w:customStyle="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Таблица-сетка 2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Таблица-сетка 3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Таблица-сетка 4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3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4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5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6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7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8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9" w:customStyle="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2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4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5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6" w:customStyle="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7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8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9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0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1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2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3" w:customStyle="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rFonts w:ascii="Liberation Sans" w:hAnsi="Liberation Sans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  <w:tblStylePr w:type="firstCol">
      <w:rPr>
        <w:rFonts w:ascii="Liberation Sans" w:hAnsi="Liberation Sans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Список-таблица 1 светлая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Список-таблица 2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0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2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3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4" w:customStyle="1">
    <w:name w:val="Список-таблица 3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Список-таблица 4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09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10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11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12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13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14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15" w:customStyle="1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6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7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8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9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0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1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2" w:customStyle="1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  <w:tblStylePr w:type="firstCol">
      <w:rPr>
        <w:rFonts w:ascii="Liberation Sans" w:hAnsi="Liberation Sans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0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1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2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3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4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5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6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7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8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9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0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1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2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3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4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5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6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7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8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9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0">
    <w:name w:val="Hyperlink"/>
    <w:rPr>
      <w:color w:val="0000ff"/>
      <w:u w:val="single"/>
      <w:lang w:val="en-US" w:eastAsia="en-US" w:bidi="en-US"/>
    </w:rPr>
  </w:style>
  <w:style w:type="paragraph" w:styleId="951">
    <w:name w:val="footnote text"/>
    <w:basedOn w:val="770"/>
    <w:link w:val="952"/>
    <w:uiPriority w:val="99"/>
    <w:semiHidden/>
    <w:unhideWhenUsed/>
    <w:pPr>
      <w:spacing w:after="40" w:line="240" w:lineRule="auto"/>
    </w:pPr>
    <w:rPr>
      <w:sz w:val="18"/>
    </w:rPr>
  </w:style>
  <w:style w:type="character" w:styleId="952" w:customStyle="1">
    <w:name w:val="Текст сноски Знак"/>
    <w:link w:val="951"/>
    <w:uiPriority w:val="99"/>
    <w:rPr>
      <w:sz w:val="18"/>
    </w:rPr>
  </w:style>
  <w:style w:type="character" w:styleId="953">
    <w:name w:val="footnote reference"/>
    <w:basedOn w:val="780"/>
    <w:uiPriority w:val="99"/>
    <w:unhideWhenUsed/>
    <w:rPr>
      <w:vertAlign w:val="superscript"/>
    </w:rPr>
  </w:style>
  <w:style w:type="paragraph" w:styleId="954">
    <w:name w:val="endnote text"/>
    <w:basedOn w:val="770"/>
    <w:link w:val="955"/>
    <w:uiPriority w:val="99"/>
    <w:semiHidden/>
    <w:unhideWhenUsed/>
    <w:pPr>
      <w:spacing w:line="240" w:lineRule="auto"/>
    </w:pPr>
    <w:rPr>
      <w:sz w:val="20"/>
    </w:rPr>
  </w:style>
  <w:style w:type="character" w:styleId="955" w:customStyle="1">
    <w:name w:val="Текст концевой сноски Знак"/>
    <w:link w:val="954"/>
    <w:uiPriority w:val="99"/>
    <w:rPr>
      <w:sz w:val="20"/>
    </w:rPr>
  </w:style>
  <w:style w:type="character" w:styleId="956">
    <w:name w:val="endnote reference"/>
    <w:basedOn w:val="780"/>
    <w:uiPriority w:val="99"/>
    <w:semiHidden/>
    <w:unhideWhenUsed/>
    <w:rPr>
      <w:vertAlign w:val="superscript"/>
    </w:rPr>
  </w:style>
  <w:style w:type="paragraph" w:styleId="957">
    <w:name w:val="toc 1"/>
    <w:basedOn w:val="770"/>
    <w:next w:val="770"/>
    <w:uiPriority w:val="39"/>
    <w:unhideWhenUsed/>
    <w:pPr>
      <w:spacing w:after="57"/>
    </w:pPr>
  </w:style>
  <w:style w:type="paragraph" w:styleId="958">
    <w:name w:val="toc 2"/>
    <w:basedOn w:val="770"/>
    <w:next w:val="770"/>
    <w:uiPriority w:val="39"/>
    <w:unhideWhenUsed/>
    <w:pPr>
      <w:ind w:left="283"/>
      <w:spacing w:after="57"/>
    </w:pPr>
  </w:style>
  <w:style w:type="paragraph" w:styleId="959">
    <w:name w:val="toc 3"/>
    <w:basedOn w:val="770"/>
    <w:next w:val="770"/>
    <w:uiPriority w:val="39"/>
    <w:unhideWhenUsed/>
    <w:pPr>
      <w:ind w:left="567"/>
      <w:spacing w:after="57"/>
    </w:pPr>
  </w:style>
  <w:style w:type="paragraph" w:styleId="960">
    <w:name w:val="toc 4"/>
    <w:basedOn w:val="770"/>
    <w:next w:val="770"/>
    <w:uiPriority w:val="39"/>
    <w:unhideWhenUsed/>
    <w:pPr>
      <w:ind w:left="850"/>
      <w:spacing w:after="57"/>
    </w:pPr>
  </w:style>
  <w:style w:type="paragraph" w:styleId="961">
    <w:name w:val="toc 5"/>
    <w:basedOn w:val="770"/>
    <w:next w:val="770"/>
    <w:uiPriority w:val="39"/>
    <w:unhideWhenUsed/>
    <w:pPr>
      <w:ind w:left="1134"/>
      <w:spacing w:after="57"/>
    </w:pPr>
  </w:style>
  <w:style w:type="paragraph" w:styleId="962">
    <w:name w:val="toc 6"/>
    <w:basedOn w:val="770"/>
    <w:next w:val="770"/>
    <w:uiPriority w:val="39"/>
    <w:unhideWhenUsed/>
    <w:pPr>
      <w:ind w:left="1417"/>
      <w:spacing w:after="57"/>
    </w:pPr>
  </w:style>
  <w:style w:type="paragraph" w:styleId="963">
    <w:name w:val="toc 7"/>
    <w:basedOn w:val="770"/>
    <w:next w:val="770"/>
    <w:uiPriority w:val="39"/>
    <w:unhideWhenUsed/>
    <w:pPr>
      <w:ind w:left="1701"/>
      <w:spacing w:after="57"/>
    </w:pPr>
  </w:style>
  <w:style w:type="paragraph" w:styleId="964">
    <w:name w:val="toc 8"/>
    <w:basedOn w:val="770"/>
    <w:next w:val="770"/>
    <w:uiPriority w:val="39"/>
    <w:unhideWhenUsed/>
    <w:pPr>
      <w:ind w:left="1984"/>
      <w:spacing w:after="57"/>
    </w:pPr>
  </w:style>
  <w:style w:type="paragraph" w:styleId="965">
    <w:name w:val="toc 9"/>
    <w:basedOn w:val="770"/>
    <w:next w:val="770"/>
    <w:uiPriority w:val="39"/>
    <w:unhideWhenUsed/>
    <w:pPr>
      <w:ind w:left="2268"/>
      <w:spacing w:after="57"/>
    </w:pPr>
  </w:style>
  <w:style w:type="paragraph" w:styleId="966">
    <w:name w:val="TOC Heading"/>
    <w:uiPriority w:val="39"/>
    <w:unhideWhenUsed/>
  </w:style>
  <w:style w:type="paragraph" w:styleId="967">
    <w:name w:val="table of figures"/>
    <w:basedOn w:val="770"/>
    <w:next w:val="770"/>
    <w:uiPriority w:val="99"/>
    <w:unhideWhenUsed/>
  </w:style>
  <w:style w:type="character" w:styleId="968" w:customStyle="1">
    <w:name w:val="WW8Num1z0"/>
  </w:style>
  <w:style w:type="character" w:styleId="969" w:customStyle="1">
    <w:name w:val="WW8Num1z1"/>
  </w:style>
  <w:style w:type="character" w:styleId="970" w:customStyle="1">
    <w:name w:val="WW8Num1z2"/>
  </w:style>
  <w:style w:type="character" w:styleId="971" w:customStyle="1">
    <w:name w:val="WW8Num1z3"/>
  </w:style>
  <w:style w:type="character" w:styleId="972" w:customStyle="1">
    <w:name w:val="WW8Num1z4"/>
  </w:style>
  <w:style w:type="character" w:styleId="973" w:customStyle="1">
    <w:name w:val="WW8Num1z5"/>
  </w:style>
  <w:style w:type="character" w:styleId="974" w:customStyle="1">
    <w:name w:val="WW8Num1z6"/>
  </w:style>
  <w:style w:type="character" w:styleId="975" w:customStyle="1">
    <w:name w:val="WW8Num1z7"/>
  </w:style>
  <w:style w:type="character" w:styleId="976" w:customStyle="1">
    <w:name w:val="WW8Num1z8"/>
  </w:style>
  <w:style w:type="character" w:styleId="977" w:customStyle="1">
    <w:name w:val="WW8Num2z0"/>
    <w:rPr>
      <w:rFonts w:cs="Times New Roman"/>
    </w:rPr>
  </w:style>
  <w:style w:type="character" w:styleId="978" w:customStyle="1">
    <w:name w:val="WW8Num2z1"/>
    <w:rPr>
      <w:rFonts w:ascii="OpenSymbol" w:hAnsi="OpenSymbol" w:cs="OpenSymbol"/>
    </w:rPr>
  </w:style>
  <w:style w:type="character" w:styleId="979" w:customStyle="1">
    <w:name w:val="WW8Num3z0"/>
    <w:rPr>
      <w:rFonts w:ascii="Symbol" w:hAnsi="Symbol" w:cs="OpenSymbol"/>
    </w:rPr>
  </w:style>
  <w:style w:type="character" w:styleId="980" w:customStyle="1">
    <w:name w:val="WW8Num3z1"/>
    <w:rPr>
      <w:rFonts w:ascii="OpenSymbol" w:hAnsi="OpenSymbol" w:cs="OpenSymbol"/>
    </w:rPr>
  </w:style>
  <w:style w:type="character" w:styleId="981" w:customStyle="1">
    <w:name w:val="WW8Num4z0"/>
    <w:rPr>
      <w:rFonts w:ascii="Symbol" w:hAnsi="Symbol" w:cs="OpenSymbol"/>
    </w:rPr>
  </w:style>
  <w:style w:type="character" w:styleId="982" w:customStyle="1">
    <w:name w:val="WW8Num4z1"/>
    <w:rPr>
      <w:rFonts w:ascii="OpenSymbol" w:hAnsi="OpenSymbol" w:cs="OpenSymbol"/>
    </w:rPr>
  </w:style>
  <w:style w:type="character" w:styleId="983" w:customStyle="1">
    <w:name w:val="WW8Num5z0"/>
    <w:rPr>
      <w:rFonts w:ascii="Symbol" w:hAnsi="Symbol" w:cs="OpenSymbol"/>
    </w:rPr>
  </w:style>
  <w:style w:type="character" w:styleId="984" w:customStyle="1">
    <w:name w:val="WW8Num5z1"/>
    <w:rPr>
      <w:rFonts w:ascii="OpenSymbol" w:hAnsi="OpenSymbol" w:cs="OpenSymbol"/>
    </w:rPr>
  </w:style>
  <w:style w:type="character" w:styleId="985" w:customStyle="1">
    <w:name w:val="Absatz-Standardschriftart"/>
  </w:style>
  <w:style w:type="character" w:styleId="986" w:customStyle="1">
    <w:name w:val="WW-Absatz-Standardschriftart"/>
  </w:style>
  <w:style w:type="character" w:styleId="987" w:customStyle="1">
    <w:name w:val="Основной шрифт абзаца1"/>
  </w:style>
  <w:style w:type="character" w:styleId="988" w:customStyle="1">
    <w:name w:val="Заголовок 1 Знак"/>
    <w:rPr>
      <w:rFonts w:ascii="Times New Roman" w:hAnsi="Times New Roman" w:eastAsia="Times New Roman" w:cs="Times New Roman"/>
      <w:b/>
      <w:sz w:val="28"/>
      <w:szCs w:val="20"/>
    </w:rPr>
  </w:style>
  <w:style w:type="character" w:styleId="989" w:customStyle="1">
    <w:name w:val="Заголовок 2 Знак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90" w:customStyle="1">
    <w:name w:val="Заголовок 3 Знак"/>
    <w:rPr>
      <w:rFonts w:ascii="Arial" w:hAnsi="Arial" w:eastAsia="Times New Roman" w:cs="Arial"/>
      <w:b/>
      <w:bCs/>
      <w:sz w:val="26"/>
      <w:szCs w:val="26"/>
    </w:rPr>
  </w:style>
  <w:style w:type="character" w:styleId="991" w:customStyle="1">
    <w:name w:val="Заголовок 4 Знак"/>
    <w:rPr>
      <w:rFonts w:ascii="Calibri" w:hAnsi="Calibri" w:eastAsia="Times New Roman" w:cs="Times New Roman"/>
      <w:b/>
      <w:bCs/>
      <w:sz w:val="28"/>
      <w:szCs w:val="28"/>
    </w:rPr>
  </w:style>
  <w:style w:type="character" w:styleId="992" w:customStyle="1">
    <w:name w:val="Основной текст Знак"/>
    <w:rPr>
      <w:sz w:val="24"/>
      <w:szCs w:val="24"/>
    </w:rPr>
  </w:style>
  <w:style w:type="character" w:styleId="993" w:customStyle="1">
    <w:name w:val="Основной текст Знак1"/>
    <w:rPr>
      <w:rFonts w:ascii="Arial" w:hAnsi="Arial" w:eastAsia="Times New Roman" w:cs="Times New Roman"/>
      <w:sz w:val="24"/>
      <w:szCs w:val="24"/>
    </w:rPr>
  </w:style>
  <w:style w:type="character" w:styleId="994" w:customStyle="1">
    <w:name w:val="Без интервала Знак"/>
    <w:rPr>
      <w:rFonts w:ascii="Calibri" w:hAnsi="Calibri" w:eastAsia="Times New Roman" w:cs="Times New Roman"/>
    </w:rPr>
  </w:style>
  <w:style w:type="character" w:styleId="995" w:customStyle="1">
    <w:name w:val="Текст выноски Знак"/>
    <w:rPr>
      <w:rFonts w:ascii="Tahoma" w:hAnsi="Tahoma" w:eastAsia="Times New Roman" w:cs="Tahoma"/>
      <w:sz w:val="16"/>
      <w:szCs w:val="16"/>
    </w:rPr>
  </w:style>
  <w:style w:type="character" w:styleId="996" w:customStyle="1">
    <w:name w:val="Текст выноски Знак1"/>
    <w:rPr>
      <w:rFonts w:ascii="Tahoma" w:hAnsi="Tahoma" w:eastAsia="Times New Roman" w:cs="Tahoma"/>
      <w:sz w:val="16"/>
      <w:szCs w:val="16"/>
    </w:rPr>
  </w:style>
  <w:style w:type="character" w:styleId="997" w:customStyle="1">
    <w:name w:val="Верхний колонтитул Знак"/>
    <w:rPr>
      <w:rFonts w:ascii="Arial" w:hAnsi="Arial" w:eastAsia="Times New Roman" w:cs="Times New Roman"/>
      <w:sz w:val="24"/>
      <w:szCs w:val="24"/>
    </w:rPr>
  </w:style>
  <w:style w:type="character" w:styleId="998" w:customStyle="1">
    <w:name w:val="Нижний колонтитул Знак"/>
    <w:uiPriority w:val="99"/>
    <w:rPr>
      <w:rFonts w:ascii="Arial" w:hAnsi="Arial" w:eastAsia="Times New Roman" w:cs="Times New Roman"/>
      <w:sz w:val="24"/>
      <w:szCs w:val="24"/>
    </w:rPr>
  </w:style>
  <w:style w:type="character" w:styleId="999" w:customStyle="1">
    <w:name w:val="Font Style144"/>
    <w:rPr>
      <w:rFonts w:ascii="Times New Roman" w:hAnsi="Times New Roman" w:cs="Times New Roman"/>
      <w:sz w:val="22"/>
      <w:szCs w:val="22"/>
    </w:rPr>
  </w:style>
  <w:style w:type="character" w:styleId="1000" w:customStyle="1">
    <w:name w:val="Font Style152"/>
    <w:rPr>
      <w:rFonts w:ascii="Times New Roman" w:hAnsi="Times New Roman" w:cs="Times New Roman"/>
      <w:b/>
      <w:bCs/>
      <w:sz w:val="22"/>
      <w:szCs w:val="22"/>
    </w:rPr>
  </w:style>
  <w:style w:type="character" w:styleId="1001" w:customStyle="1">
    <w:name w:val="Основной текст с отступом Знак"/>
    <w:rPr>
      <w:rFonts w:ascii="Arial" w:hAnsi="Arial" w:eastAsia="Times New Roman" w:cs="Times New Roman"/>
      <w:sz w:val="24"/>
      <w:szCs w:val="24"/>
    </w:rPr>
  </w:style>
  <w:style w:type="character" w:styleId="1002" w:customStyle="1">
    <w:name w:val="Основной текст с отступом 2 Знак"/>
    <w:rPr>
      <w:rFonts w:ascii="Arial" w:hAnsi="Arial" w:eastAsia="Times New Roman" w:cs="Times New Roman"/>
      <w:sz w:val="24"/>
      <w:szCs w:val="24"/>
    </w:rPr>
  </w:style>
  <w:style w:type="character" w:styleId="1003" w:customStyle="1">
    <w:name w:val="Font Style11"/>
    <w:rPr>
      <w:rFonts w:ascii="Times New Roman" w:hAnsi="Times New Roman" w:cs="Times New Roman"/>
      <w:sz w:val="22"/>
      <w:szCs w:val="22"/>
    </w:rPr>
  </w:style>
  <w:style w:type="character" w:styleId="1004" w:customStyle="1">
    <w:name w:val="Font Style29"/>
    <w:rPr>
      <w:rFonts w:ascii="Times New Roman" w:hAnsi="Times New Roman" w:cs="Times New Roman"/>
      <w:sz w:val="20"/>
    </w:rPr>
  </w:style>
  <w:style w:type="character" w:styleId="1005" w:customStyle="1">
    <w:name w:val="Font Style21"/>
    <w:rPr>
      <w:rFonts w:ascii="Times New Roman" w:hAnsi="Times New Roman" w:cs="Times New Roman"/>
      <w:b/>
      <w:sz w:val="20"/>
    </w:rPr>
  </w:style>
  <w:style w:type="character" w:styleId="1006" w:customStyle="1">
    <w:name w:val="Font Style31"/>
    <w:rPr>
      <w:rFonts w:ascii="Times New Roman" w:hAnsi="Times New Roman" w:cs="Times New Roman"/>
      <w:b/>
      <w:smallCaps/>
      <w:sz w:val="16"/>
    </w:rPr>
  </w:style>
  <w:style w:type="character" w:styleId="1007" w:customStyle="1">
    <w:name w:val="Основной текст 3 Знак"/>
    <w:rPr>
      <w:rFonts w:ascii="Arial" w:hAnsi="Arial" w:eastAsia="Times New Roman" w:cs="Times New Roman"/>
      <w:sz w:val="16"/>
      <w:szCs w:val="16"/>
    </w:rPr>
  </w:style>
  <w:style w:type="character" w:styleId="1008" w:customStyle="1">
    <w:name w:val="Основной текст с отступом 3 Знак"/>
    <w:rPr>
      <w:rFonts w:ascii="Arial" w:hAnsi="Arial" w:eastAsia="Times New Roman" w:cs="Times New Roman"/>
      <w:sz w:val="16"/>
      <w:szCs w:val="16"/>
    </w:rPr>
  </w:style>
  <w:style w:type="character" w:styleId="1009" w:customStyle="1">
    <w:name w:val="Font Style126"/>
    <w:rPr>
      <w:rFonts w:ascii="Times New Roman" w:hAnsi="Times New Roman" w:cs="Times New Roman"/>
      <w:sz w:val="20"/>
    </w:rPr>
  </w:style>
  <w:style w:type="character" w:styleId="1010" w:customStyle="1">
    <w:name w:val="Font Style123"/>
    <w:rPr>
      <w:rFonts w:ascii="Times New Roman" w:hAnsi="Times New Roman" w:cs="Times New Roman"/>
      <w:b/>
      <w:sz w:val="20"/>
    </w:rPr>
  </w:style>
  <w:style w:type="character" w:styleId="1011" w:customStyle="1">
    <w:name w:val="Font Style161"/>
    <w:rPr>
      <w:rFonts w:ascii="Times New Roman" w:hAnsi="Times New Roman" w:cs="Times New Roman"/>
      <w:b/>
      <w:sz w:val="16"/>
    </w:rPr>
  </w:style>
  <w:style w:type="character" w:styleId="1012" w:customStyle="1">
    <w:name w:val="H2 Знак Знак1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styleId="1013" w:customStyle="1">
    <w:name w:val="Основной текст 2 Знак"/>
    <w:rPr>
      <w:rFonts w:ascii="Arial" w:hAnsi="Arial" w:eastAsia="Times New Roman" w:cs="Times New Roman"/>
      <w:sz w:val="24"/>
      <w:szCs w:val="24"/>
    </w:rPr>
  </w:style>
  <w:style w:type="character" w:styleId="1014" w:customStyle="1">
    <w:name w:val="Основной текст 2 Знак1"/>
    <w:rPr>
      <w:rFonts w:ascii="Arial" w:hAnsi="Arial" w:eastAsia="Times New Roman" w:cs="Times New Roman"/>
      <w:sz w:val="24"/>
      <w:szCs w:val="24"/>
    </w:rPr>
  </w:style>
  <w:style w:type="character" w:styleId="1015" w:customStyle="1">
    <w:name w:val="Текст Знак"/>
    <w:rPr>
      <w:rFonts w:ascii="Courier New" w:hAnsi="Courier New" w:eastAsia="Times New Roman" w:cs="Times New Roman"/>
      <w:sz w:val="20"/>
      <w:szCs w:val="20"/>
    </w:rPr>
  </w:style>
  <w:style w:type="character" w:styleId="1016" w:customStyle="1">
    <w:name w:val="ConsNormal Знак"/>
    <w:rPr>
      <w:rFonts w:ascii="Arial" w:hAnsi="Arial" w:eastAsia="Times New Roman" w:cs="Times New Roman"/>
    </w:rPr>
  </w:style>
  <w:style w:type="character" w:styleId="1017" w:customStyle="1">
    <w:name w:val="FollowedHyperlink1"/>
    <w:rPr>
      <w:color w:val="800080"/>
      <w:u w:val="single"/>
    </w:rPr>
  </w:style>
  <w:style w:type="character" w:styleId="1018" w:customStyle="1">
    <w:name w:val="ListLabel 1"/>
    <w:rPr>
      <w:rFonts w:cs="Times New Roman"/>
    </w:rPr>
  </w:style>
  <w:style w:type="character" w:styleId="1019" w:customStyle="1">
    <w:name w:val="ListLabel 2"/>
    <w:rPr>
      <w:b/>
    </w:rPr>
  </w:style>
  <w:style w:type="character" w:styleId="1020" w:customStyle="1">
    <w:name w:val="ListLabel 3"/>
    <w:rPr>
      <w:rFonts w:cs="Times New Roman"/>
      <w:b/>
      <w:sz w:val="26"/>
      <w:szCs w:val="28"/>
    </w:rPr>
  </w:style>
  <w:style w:type="character" w:styleId="1021" w:customStyle="1">
    <w:name w:val="ListLabel 4"/>
    <w:rPr>
      <w:rFonts w:cs="Times New Roman"/>
      <w:b/>
    </w:rPr>
  </w:style>
  <w:style w:type="character" w:styleId="1022" w:customStyle="1">
    <w:name w:val="ListLabel 5"/>
    <w:rPr>
      <w:rFonts w:eastAsia="Times New Roman" w:cs="Times New Roman"/>
    </w:rPr>
  </w:style>
  <w:style w:type="character" w:styleId="1023" w:customStyle="1">
    <w:name w:val="ListLabel 6"/>
    <w:rPr>
      <w:rFonts w:cs="Times New Roman"/>
      <w:b w:val="0"/>
      <w:bCs w:val="0"/>
    </w:rPr>
  </w:style>
  <w:style w:type="character" w:styleId="1024" w:customStyle="1">
    <w:name w:val="ListLabel 7"/>
    <w:rPr>
      <w:sz w:val="24"/>
      <w:szCs w:val="24"/>
    </w:rPr>
  </w:style>
  <w:style w:type="character" w:styleId="1025" w:customStyle="1">
    <w:name w:val="ListLabel 8"/>
    <w:rPr>
      <w:sz w:val="26"/>
      <w:szCs w:val="26"/>
    </w:rPr>
  </w:style>
  <w:style w:type="character" w:styleId="1026" w:customStyle="1">
    <w:name w:val="ListLabel 9"/>
    <w:rPr>
      <w:b/>
      <w:i w:val="0"/>
      <w:color w:val="000000"/>
      <w:sz w:val="28"/>
    </w:rPr>
  </w:style>
  <w:style w:type="character" w:styleId="1027" w:customStyle="1">
    <w:name w:val="ListLabel 10"/>
    <w:rPr>
      <w:b/>
      <w:bCs w:val="0"/>
      <w:i w:val="0"/>
      <w:iCs w:val="0"/>
      <w:caps w:val="0"/>
      <w:smallCaps w:val="0"/>
      <w:strike w:val="0"/>
      <w:color w:val="000000"/>
      <w:spacing w:val="0"/>
      <w:position w:val="0"/>
      <w:sz w:val="22"/>
      <w:szCs w:val="22"/>
      <w:u w:val="none"/>
      <w:vertAlign w:val="baseline"/>
    </w:rPr>
  </w:style>
  <w:style w:type="character" w:styleId="1028" w:customStyle="1">
    <w:name w:val="ListLabel 11"/>
    <w:rPr>
      <w:b/>
      <w:bCs/>
      <w:i w:val="0"/>
      <w:iCs w:val="0"/>
      <w:caps w:val="0"/>
      <w:smallCaps w:val="0"/>
      <w:strike w:val="0"/>
      <w:color w:val="000000"/>
      <w:spacing w:val="0"/>
      <w:position w:val="0"/>
      <w:sz w:val="22"/>
      <w:szCs w:val="22"/>
      <w:u w:val="none"/>
      <w:vertAlign w:val="baseline"/>
    </w:rPr>
  </w:style>
  <w:style w:type="character" w:styleId="1029">
    <w:name w:val="FollowedHyperlink"/>
    <w:rPr>
      <w:color w:val="800000"/>
      <w:u w:val="single"/>
      <w:lang w:val="en-US" w:eastAsia="en-US" w:bidi="en-US"/>
    </w:rPr>
  </w:style>
  <w:style w:type="character" w:styleId="1030" w:customStyle="1">
    <w:name w:val="Маркеры списка"/>
    <w:rPr>
      <w:rFonts w:ascii="OpenSymbol" w:hAnsi="OpenSymbol" w:eastAsia="OpenSymbol" w:cs="OpenSymbol"/>
    </w:rPr>
  </w:style>
  <w:style w:type="paragraph" w:styleId="1031">
    <w:name w:val="Body Text"/>
    <w:basedOn w:val="770"/>
    <w:pPr>
      <w:jc w:val="both"/>
      <w:spacing w:after="120"/>
    </w:pPr>
    <w:rPr>
      <w:rFonts w:ascii="Calibri" w:hAnsi="Calibri" w:cs="Calibri"/>
    </w:rPr>
  </w:style>
  <w:style w:type="paragraph" w:styleId="1032">
    <w:name w:val="List"/>
    <w:basedOn w:val="1031"/>
    <w:rPr>
      <w:rFonts w:cs="Mangal"/>
    </w:rPr>
  </w:style>
  <w:style w:type="paragraph" w:styleId="1033" w:customStyle="1">
    <w:name w:val="Название2"/>
    <w:basedOn w:val="770"/>
    <w:pPr>
      <w:spacing w:before="120" w:after="120"/>
      <w:suppressLineNumbers/>
    </w:pPr>
    <w:rPr>
      <w:rFonts w:cs="Tahoma"/>
      <w:i/>
      <w:iCs/>
    </w:rPr>
  </w:style>
  <w:style w:type="paragraph" w:styleId="1034" w:customStyle="1">
    <w:name w:val="Указатель2"/>
    <w:basedOn w:val="770"/>
    <w:pPr>
      <w:suppressLineNumbers/>
    </w:pPr>
    <w:rPr>
      <w:rFonts w:cs="Tahoma"/>
    </w:rPr>
  </w:style>
  <w:style w:type="paragraph" w:styleId="1035" w:customStyle="1">
    <w:name w:val="Название1"/>
    <w:basedOn w:val="770"/>
    <w:pPr>
      <w:spacing w:before="120" w:after="120"/>
      <w:suppressLineNumbers/>
    </w:pPr>
    <w:rPr>
      <w:rFonts w:cs="Mangal"/>
      <w:i/>
      <w:iCs/>
    </w:rPr>
  </w:style>
  <w:style w:type="paragraph" w:styleId="1036" w:customStyle="1">
    <w:name w:val="Указатель1"/>
    <w:basedOn w:val="770"/>
    <w:pPr>
      <w:suppressLineNumbers/>
    </w:pPr>
    <w:rPr>
      <w:rFonts w:cs="Mangal"/>
    </w:rPr>
  </w:style>
  <w:style w:type="paragraph" w:styleId="1037" w:customStyle="1">
    <w:name w:val="Основной текст.Основной текст Знак Знак.Основной текст Знак"/>
    <w:pPr>
      <w:jc w:val="both"/>
      <w:spacing w:line="100" w:lineRule="atLeast"/>
    </w:pPr>
    <w:rPr>
      <w:rFonts w:eastAsia="Arial"/>
      <w:sz w:val="24"/>
      <w:lang w:eastAsia="ar-SA"/>
    </w:rPr>
  </w:style>
  <w:style w:type="paragraph" w:styleId="1038">
    <w:name w:val="No Spacing"/>
    <w:pPr>
      <w:spacing w:line="100" w:lineRule="atLeast"/>
    </w:pPr>
    <w:rPr>
      <w:rFonts w:ascii="Calibri" w:hAnsi="Calibri" w:eastAsia="Arial"/>
      <w:sz w:val="22"/>
      <w:szCs w:val="22"/>
      <w:lang w:eastAsia="ar-SA"/>
    </w:rPr>
  </w:style>
  <w:style w:type="paragraph" w:styleId="1039">
    <w:name w:val="Balloon Text"/>
    <w:basedOn w:val="770"/>
    <w:link w:val="1091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paragraph" w:styleId="1040" w:customStyle="1">
    <w:name w:val="Style45"/>
    <w:basedOn w:val="770"/>
    <w:pPr>
      <w:ind w:firstLine="706"/>
      <w:jc w:val="both"/>
      <w:spacing w:after="200" w:line="274" w:lineRule="exact"/>
      <w:widowControl w:val="off"/>
    </w:pPr>
    <w:rPr>
      <w:rFonts w:ascii="Times New Roman" w:hAnsi="Times New Roman"/>
    </w:rPr>
  </w:style>
  <w:style w:type="paragraph" w:styleId="1041">
    <w:name w:val="Body Text Indent"/>
    <w:basedOn w:val="770"/>
    <w:pPr>
      <w:ind w:left="283"/>
      <w:spacing w:after="120"/>
    </w:pPr>
  </w:style>
  <w:style w:type="paragraph" w:styleId="1042" w:customStyle="1">
    <w:name w:val="Абзац списка1"/>
    <w:basedOn w:val="770"/>
    <w:pPr>
      <w:ind w:left="720"/>
      <w:spacing w:after="200"/>
    </w:pPr>
    <w:rPr>
      <w:rFonts w:ascii="Times New Roman" w:hAnsi="Times New Roman" w:eastAsia="Calibri"/>
    </w:rPr>
  </w:style>
  <w:style w:type="paragraph" w:styleId="1043" w:customStyle="1">
    <w:name w:val="Стиль2"/>
    <w:pPr>
      <w:ind w:left="1836" w:hanging="576"/>
      <w:jc w:val="both"/>
      <w:keepLines/>
      <w:keepNext/>
      <w:spacing w:after="60" w:line="276" w:lineRule="auto"/>
      <w:widowControl w:val="off"/>
      <w:tabs>
        <w:tab w:val="left" w:pos="5164" w:leader="none"/>
        <w:tab w:val="left" w:pos="5508" w:leader="none"/>
      </w:tabs>
      <w:suppressLineNumbers/>
    </w:pPr>
    <w:rPr>
      <w:rFonts w:eastAsia="SimSun" w:cs="Calibri"/>
      <w:b/>
      <w:bCs/>
      <w:sz w:val="22"/>
      <w:szCs w:val="22"/>
      <w:lang w:eastAsia="ar-SA"/>
    </w:rPr>
  </w:style>
  <w:style w:type="paragraph" w:styleId="1044">
    <w:name w:val="List Number 2"/>
    <w:basedOn w:val="770"/>
    <w:pPr>
      <w:ind w:left="432" w:hanging="432"/>
      <w:spacing w:after="200"/>
      <w:tabs>
        <w:tab w:val="left" w:pos="1296" w:leader="none"/>
      </w:tabs>
    </w:pPr>
  </w:style>
  <w:style w:type="paragraph" w:styleId="1045" w:customStyle="1">
    <w:name w:val="Стиль3"/>
    <w:pPr>
      <w:ind w:left="1260"/>
      <w:jc w:val="both"/>
      <w:spacing w:line="100" w:lineRule="atLeast"/>
      <w:widowControl w:val="off"/>
      <w:tabs>
        <w:tab w:val="left" w:pos="4007" w:leader="none"/>
      </w:tabs>
    </w:pPr>
    <w:rPr>
      <w:rFonts w:eastAsia="SimSun" w:cs="Calibri"/>
      <w:sz w:val="22"/>
      <w:szCs w:val="22"/>
      <w:lang w:eastAsia="ar-SA"/>
    </w:rPr>
  </w:style>
  <w:style w:type="paragraph" w:styleId="1046">
    <w:name w:val="Body Text Indent 2"/>
    <w:basedOn w:val="770"/>
    <w:pPr>
      <w:ind w:left="283"/>
      <w:spacing w:after="120" w:line="480" w:lineRule="auto"/>
    </w:pPr>
  </w:style>
  <w:style w:type="paragraph" w:styleId="1047" w:customStyle="1">
    <w:name w:val="Style5"/>
    <w:basedOn w:val="770"/>
    <w:pPr>
      <w:ind w:firstLine="706"/>
      <w:jc w:val="both"/>
      <w:spacing w:after="200" w:line="254" w:lineRule="exact"/>
      <w:widowControl w:val="off"/>
    </w:pPr>
    <w:rPr>
      <w:rFonts w:ascii="Times New Roman" w:hAnsi="Times New Roman" w:eastAsia="Calibri"/>
    </w:rPr>
  </w:style>
  <w:style w:type="paragraph" w:styleId="1048">
    <w:name w:val="List Paragraph"/>
    <w:basedOn w:val="770"/>
    <w:pPr>
      <w:ind w:left="708"/>
      <w:spacing w:after="200"/>
    </w:pPr>
  </w:style>
  <w:style w:type="paragraph" w:styleId="1049" w:customStyle="1">
    <w:name w:val="Подпункт"/>
    <w:basedOn w:val="770"/>
    <w:pPr>
      <w:ind w:left="360" w:hanging="360"/>
      <w:jc w:val="both"/>
      <w:spacing w:after="200"/>
      <w:tabs>
        <w:tab w:val="left" w:pos="1080" w:leader="none"/>
        <w:tab w:val="left" w:pos="2745" w:leader="none"/>
      </w:tabs>
    </w:pPr>
    <w:rPr>
      <w:rFonts w:ascii="Times New Roman" w:hAnsi="Times New Roman"/>
      <w:szCs w:val="20"/>
    </w:rPr>
  </w:style>
  <w:style w:type="paragraph" w:styleId="1050" w:customStyle="1">
    <w:name w:val="Стиль3 Знак Знак"/>
    <w:basedOn w:val="1046"/>
    <w:pPr>
      <w:ind w:left="0"/>
      <w:jc w:val="both"/>
      <w:spacing w:before="120" w:after="0" w:line="100" w:lineRule="atLeast"/>
      <w:widowControl w:val="off"/>
      <w:tabs>
        <w:tab w:val="left" w:pos="227" w:leader="none"/>
      </w:tabs>
    </w:pPr>
    <w:rPr>
      <w:rFonts w:ascii="Times New Roman" w:hAnsi="Times New Roman"/>
      <w:szCs w:val="20"/>
    </w:rPr>
  </w:style>
  <w:style w:type="paragraph" w:styleId="1051" w:customStyle="1">
    <w:name w:val="Style6"/>
    <w:basedOn w:val="770"/>
    <w:pPr>
      <w:jc w:val="both"/>
      <w:widowControl w:val="off"/>
    </w:pPr>
    <w:rPr>
      <w:rFonts w:ascii="Times New Roman" w:hAnsi="Times New Roman" w:eastAsia="Calibri"/>
    </w:rPr>
  </w:style>
  <w:style w:type="paragraph" w:styleId="1052" w:customStyle="1">
    <w:name w:val="Style10"/>
    <w:basedOn w:val="770"/>
    <w:pPr>
      <w:jc w:val="both"/>
      <w:spacing w:line="278" w:lineRule="exact"/>
      <w:widowControl w:val="off"/>
    </w:pPr>
    <w:rPr>
      <w:rFonts w:ascii="Times New Roman" w:hAnsi="Times New Roman" w:eastAsia="Calibri"/>
    </w:rPr>
  </w:style>
  <w:style w:type="paragraph" w:styleId="1053" w:customStyle="1">
    <w:name w:val="Style8"/>
    <w:basedOn w:val="770"/>
    <w:pPr>
      <w:spacing w:line="263" w:lineRule="exact"/>
      <w:widowControl w:val="off"/>
    </w:pPr>
    <w:rPr>
      <w:rFonts w:ascii="Times New Roman" w:hAnsi="Times New Roman" w:eastAsia="Calibri"/>
    </w:rPr>
  </w:style>
  <w:style w:type="paragraph" w:styleId="1054" w:customStyle="1">
    <w:name w:val="Style9"/>
    <w:basedOn w:val="770"/>
    <w:pPr>
      <w:spacing w:line="223" w:lineRule="exact"/>
      <w:widowControl w:val="off"/>
    </w:pPr>
    <w:rPr>
      <w:rFonts w:ascii="Times New Roman" w:hAnsi="Times New Roman" w:eastAsia="Calibri"/>
    </w:rPr>
  </w:style>
  <w:style w:type="paragraph" w:styleId="1055" w:customStyle="1">
    <w:name w:val="Style4"/>
    <w:basedOn w:val="770"/>
    <w:pPr>
      <w:ind w:firstLine="893"/>
      <w:jc w:val="both"/>
      <w:spacing w:after="200" w:line="259" w:lineRule="exact"/>
      <w:widowControl w:val="off"/>
    </w:pPr>
    <w:rPr>
      <w:rFonts w:ascii="Times New Roman" w:hAnsi="Times New Roman" w:eastAsia="Calibri"/>
    </w:rPr>
  </w:style>
  <w:style w:type="paragraph" w:styleId="1056" w:customStyle="1">
    <w:name w:val="ConsPlusNormal"/>
    <w:pPr>
      <w:ind w:firstLine="720"/>
      <w:spacing w:line="100" w:lineRule="atLeast"/>
    </w:pPr>
    <w:rPr>
      <w:rFonts w:ascii="Arial" w:hAnsi="Arial" w:eastAsia="Arial" w:cs="Arial"/>
      <w:lang w:eastAsia="ar-SA"/>
    </w:rPr>
  </w:style>
  <w:style w:type="paragraph" w:styleId="1057">
    <w:name w:val="Body Text 3"/>
    <w:basedOn w:val="770"/>
    <w:pPr>
      <w:spacing w:after="120"/>
    </w:pPr>
    <w:rPr>
      <w:sz w:val="16"/>
      <w:szCs w:val="16"/>
    </w:rPr>
  </w:style>
  <w:style w:type="paragraph" w:styleId="1058">
    <w:name w:val="Body Text Indent 3"/>
    <w:basedOn w:val="770"/>
    <w:pPr>
      <w:ind w:left="283"/>
      <w:spacing w:after="120"/>
    </w:pPr>
    <w:rPr>
      <w:sz w:val="16"/>
      <w:szCs w:val="16"/>
    </w:rPr>
  </w:style>
  <w:style w:type="paragraph" w:styleId="1059" w:customStyle="1">
    <w:name w:val="Style26"/>
    <w:basedOn w:val="770"/>
    <w:pPr>
      <w:spacing w:line="259" w:lineRule="exact"/>
      <w:widowControl w:val="off"/>
    </w:pPr>
    <w:rPr>
      <w:rFonts w:ascii="Times New Roman" w:hAnsi="Times New Roman" w:eastAsia="Calibri"/>
    </w:rPr>
  </w:style>
  <w:style w:type="paragraph" w:styleId="1060">
    <w:name w:val="Body Text 2"/>
    <w:basedOn w:val="770"/>
    <w:pPr>
      <w:spacing w:after="120" w:line="480" w:lineRule="auto"/>
    </w:pPr>
  </w:style>
  <w:style w:type="paragraph" w:styleId="1061">
    <w:name w:val="Plain Text"/>
    <w:basedOn w:val="770"/>
    <w:rPr>
      <w:rFonts w:ascii="Courier New" w:hAnsi="Courier New" w:cs="Courier New"/>
      <w:sz w:val="20"/>
      <w:szCs w:val="20"/>
    </w:rPr>
  </w:style>
  <w:style w:type="paragraph" w:styleId="1062">
    <w:name w:val="Normal (Web)"/>
    <w:basedOn w:val="770"/>
    <w:pPr>
      <w:spacing w:before="28" w:after="28"/>
    </w:pPr>
    <w:rPr>
      <w:rFonts w:ascii="Times New Roman" w:hAnsi="Times New Roman"/>
    </w:rPr>
  </w:style>
  <w:style w:type="paragraph" w:styleId="1063" w:customStyle="1">
    <w:name w:val="ConsNormal"/>
    <w:pPr>
      <w:ind w:firstLine="720"/>
      <w:spacing w:line="100" w:lineRule="atLeast"/>
    </w:pPr>
    <w:rPr>
      <w:rFonts w:ascii="Arial" w:hAnsi="Arial" w:eastAsia="Arial"/>
      <w:sz w:val="22"/>
      <w:szCs w:val="22"/>
      <w:lang w:eastAsia="ar-SA"/>
    </w:rPr>
  </w:style>
  <w:style w:type="paragraph" w:styleId="1064" w:customStyle="1">
    <w:name w:val="Знак1"/>
    <w:basedOn w:val="770"/>
    <w:pPr>
      <w:jc w:val="both"/>
      <w:spacing w:after="160"/>
    </w:pPr>
    <w:rPr>
      <w:rFonts w:ascii="Times New Roman" w:hAnsi="Times New Roman" w:eastAsia="Calibri"/>
      <w:szCs w:val="20"/>
      <w:lang w:val="en-US"/>
    </w:rPr>
  </w:style>
  <w:style w:type="paragraph" w:styleId="1065" w:customStyle="1">
    <w:name w:val="Пункт"/>
    <w:basedOn w:val="770"/>
    <w:pPr>
      <w:ind w:left="1404" w:hanging="504"/>
      <w:jc w:val="both"/>
      <w:spacing w:after="200"/>
      <w:tabs>
        <w:tab w:val="left" w:pos="4788" w:leader="none"/>
      </w:tabs>
    </w:pPr>
    <w:rPr>
      <w:rFonts w:ascii="Times New Roman" w:hAnsi="Times New Roman"/>
      <w:szCs w:val="28"/>
    </w:rPr>
  </w:style>
  <w:style w:type="paragraph" w:styleId="1066" w:customStyle="1">
    <w:name w:val="Знак Знак Знак"/>
    <w:basedOn w:val="770"/>
    <w:pPr>
      <w:jc w:val="right"/>
      <w:spacing w:after="160" w:line="240" w:lineRule="exact"/>
    </w:pPr>
    <w:rPr>
      <w:rFonts w:ascii="Times New Roman" w:hAnsi="Times New Roman"/>
      <w:lang w:val="en-US"/>
    </w:rPr>
  </w:style>
  <w:style w:type="paragraph" w:styleId="1067" w:customStyle="1">
    <w:name w:val="xl65"/>
    <w:basedOn w:val="770"/>
    <w:pPr>
      <w:spacing w:before="28" w:after="28"/>
    </w:pPr>
    <w:rPr>
      <w:rFonts w:ascii="Times New Roman" w:hAnsi="Times New Roman"/>
    </w:rPr>
  </w:style>
  <w:style w:type="paragraph" w:styleId="1068" w:customStyle="1">
    <w:name w:val="xl66"/>
    <w:basedOn w:val="770"/>
    <w:pPr>
      <w:jc w:val="center"/>
      <w:spacing w:before="28" w:after="28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18"/>
      <w:szCs w:val="18"/>
    </w:rPr>
  </w:style>
  <w:style w:type="paragraph" w:styleId="1069" w:customStyle="1">
    <w:name w:val="xl67"/>
    <w:basedOn w:val="770"/>
    <w:pPr>
      <w:jc w:val="center"/>
      <w:spacing w:before="28" w:after="28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070" w:customStyle="1">
    <w:name w:val="xl68"/>
    <w:basedOn w:val="770"/>
    <w:pPr>
      <w:spacing w:before="28" w:after="28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071" w:customStyle="1">
    <w:name w:val="xl69"/>
    <w:basedOn w:val="770"/>
    <w:pPr>
      <w:spacing w:before="28" w:after="28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072" w:customStyle="1">
    <w:name w:val="xl70"/>
    <w:basedOn w:val="770"/>
    <w:pPr>
      <w:jc w:val="center"/>
      <w:spacing w:before="28" w:after="28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073" w:customStyle="1">
    <w:name w:val="xl71"/>
    <w:basedOn w:val="770"/>
    <w:pPr>
      <w:jc w:val="center"/>
      <w:spacing w:before="28" w:after="28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074" w:customStyle="1">
    <w:name w:val="xl72"/>
    <w:basedOn w:val="770"/>
    <w:pPr>
      <w:jc w:val="center"/>
      <w:spacing w:before="28" w:after="28"/>
      <w:pBdr>
        <w:top w:val="single" w:color="000000" w:sz="4" w:space="0"/>
        <w:left w:val="single" w:color="000000" w:sz="4" w:space="0"/>
        <w:bottom w:val="none" w:color="000000" w:sz="0" w:space="0"/>
        <w:right w:val="none" w:color="000000" w:sz="0" w:space="0"/>
      </w:pBdr>
    </w:pPr>
    <w:rPr>
      <w:rFonts w:ascii="Times New Roman" w:hAnsi="Times New Roman"/>
      <w:sz w:val="18"/>
      <w:szCs w:val="18"/>
    </w:rPr>
  </w:style>
  <w:style w:type="paragraph" w:styleId="1075" w:customStyle="1">
    <w:name w:val="xl73"/>
    <w:basedOn w:val="770"/>
    <w:pPr>
      <w:jc w:val="center"/>
      <w:spacing w:before="28" w:after="28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076" w:customStyle="1">
    <w:name w:val="Содержимое таблицы"/>
    <w:basedOn w:val="770"/>
    <w:pPr>
      <w:suppressLineNumbers/>
    </w:pPr>
  </w:style>
  <w:style w:type="character" w:styleId="1077" w:customStyle="1">
    <w:name w:val="Основной текст (2)_"/>
    <w:link w:val="1078"/>
    <w:rPr>
      <w:shd w:val="clear" w:color="auto" w:fill="ffffff"/>
    </w:rPr>
  </w:style>
  <w:style w:type="paragraph" w:styleId="1078" w:customStyle="1">
    <w:name w:val="Основной текст (2)"/>
    <w:basedOn w:val="770"/>
    <w:link w:val="1077"/>
    <w:pPr>
      <w:ind w:hanging="580"/>
      <w:spacing w:after="140" w:line="274" w:lineRule="exact"/>
      <w:shd w:val="clear" w:color="auto" w:fill="ffffff"/>
      <w:widowControl w:val="off"/>
    </w:pPr>
    <w:rPr>
      <w:rFonts w:ascii="Times New Roman" w:hAnsi="Times New Roman"/>
      <w:sz w:val="20"/>
      <w:szCs w:val="20"/>
      <w:lang w:eastAsia="ru-RU"/>
    </w:rPr>
  </w:style>
  <w:style w:type="character" w:styleId="1079" w:customStyle="1">
    <w:name w:val="Основной текст (4)_"/>
    <w:link w:val="1080"/>
    <w:rPr>
      <w:b/>
      <w:bCs/>
      <w:shd w:val="clear" w:color="auto" w:fill="ffffff"/>
    </w:rPr>
  </w:style>
  <w:style w:type="paragraph" w:styleId="1080" w:customStyle="1">
    <w:name w:val="Основной текст (4)"/>
    <w:basedOn w:val="770"/>
    <w:link w:val="1079"/>
    <w:pPr>
      <w:spacing w:line="298" w:lineRule="exact"/>
      <w:shd w:val="clear" w:color="auto" w:fill="ffffff"/>
      <w:widowControl w:val="off"/>
    </w:pPr>
    <w:rPr>
      <w:rFonts w:ascii="Times New Roman" w:hAnsi="Times New Roman"/>
      <w:b/>
      <w:bCs/>
      <w:sz w:val="20"/>
      <w:szCs w:val="20"/>
      <w:lang w:eastAsia="ru-RU"/>
    </w:rPr>
  </w:style>
  <w:style w:type="paragraph" w:styleId="1081" w:customStyle="1">
    <w:name w:val="Table Contents"/>
    <w:basedOn w:val="770"/>
    <w:pPr>
      <w:spacing w:line="240" w:lineRule="auto"/>
      <w:widowControl w:val="off"/>
      <w:suppressLineNumbers/>
    </w:pPr>
    <w:rPr>
      <w:rFonts w:ascii="Times New Roman" w:hAnsi="Times New Roman" w:eastAsia="Andale Sans UI" w:cs="Tahoma"/>
      <w:lang w:val="de-DE" w:eastAsia="ja-JP" w:bidi="fa-IR"/>
    </w:rPr>
  </w:style>
  <w:style w:type="paragraph" w:styleId="1082" w:customStyle="1">
    <w:name w:val="Абзац списка;Нумерованый список;List Paragraph1;Абзац маркированнный;ПАРАГРАФ;Абзац списка2;Bullet List;FooterText;numbered;Заголовок_3;Use Case List Paragraph;Нумерованный спиков;Bullet 1;it_List1;Table-Normal;RSHB_Table-Normal;Paragraphe de liste1;lp1"/>
    <w:basedOn w:val="770"/>
    <w:link w:val="1085"/>
    <w:uiPriority w:val="34"/>
    <w:qFormat/>
    <w:pPr>
      <w:contextualSpacing/>
      <w:ind w:left="720"/>
      <w:spacing w:after="160" w:line="259" w:lineRule="auto"/>
    </w:pPr>
    <w:rPr>
      <w:rFonts w:ascii="Calibri" w:hAnsi="Calibri" w:eastAsia="Calibri"/>
      <w:sz w:val="22"/>
      <w:szCs w:val="22"/>
      <w:lang w:eastAsia="en-US"/>
    </w:rPr>
  </w:style>
  <w:style w:type="character" w:styleId="1083" w:customStyle="1">
    <w:name w:val="Основной текст_"/>
    <w:link w:val="1084"/>
    <w:rPr>
      <w:i/>
      <w:iCs/>
      <w:sz w:val="23"/>
      <w:szCs w:val="23"/>
      <w:shd w:val="clear" w:color="auto" w:fill="ffffff"/>
    </w:rPr>
  </w:style>
  <w:style w:type="paragraph" w:styleId="1084" w:customStyle="1">
    <w:name w:val="Основной текст3"/>
    <w:basedOn w:val="770"/>
    <w:link w:val="1083"/>
    <w:pPr>
      <w:jc w:val="both"/>
      <w:spacing w:before="360" w:after="240" w:line="274" w:lineRule="exact"/>
      <w:shd w:val="clear" w:color="auto" w:fill="ffffff"/>
      <w:widowControl w:val="off"/>
    </w:pPr>
    <w:rPr>
      <w:rFonts w:ascii="Times New Roman" w:hAnsi="Times New Roman"/>
      <w:i/>
      <w:iCs/>
      <w:sz w:val="23"/>
      <w:szCs w:val="23"/>
      <w:lang w:eastAsia="ru-RU"/>
    </w:rPr>
  </w:style>
  <w:style w:type="character" w:styleId="1085" w:customStyle="1">
    <w:name w:val="Абзац списка Знак;Нумерованый список Знак;List Paragraph1 Знак;Абзац маркированнный Знак;ПАРАГРАФ Знак;Абзац списка2 Знак;Bullet List Знак;FooterText Знак;numbered Знак;Заголовок_3 Знак;Use Case List Paragraph Знак;Нумерованный спиков Знак;Bullet 1 Знак"/>
    <w:link w:val="1082"/>
    <w:uiPriority w:val="34"/>
    <w:qFormat/>
    <w:rPr>
      <w:rFonts w:ascii="Calibri" w:hAnsi="Calibri" w:eastAsia="Calibri"/>
      <w:sz w:val="22"/>
      <w:szCs w:val="22"/>
      <w:lang w:eastAsia="en-US"/>
    </w:rPr>
  </w:style>
  <w:style w:type="character" w:styleId="1086">
    <w:name w:val="annotation reference"/>
    <w:uiPriority w:val="99"/>
    <w:semiHidden/>
    <w:unhideWhenUsed/>
    <w:rPr>
      <w:sz w:val="16"/>
      <w:szCs w:val="16"/>
    </w:rPr>
  </w:style>
  <w:style w:type="paragraph" w:styleId="1087">
    <w:name w:val="annotation text"/>
    <w:basedOn w:val="770"/>
    <w:link w:val="1088"/>
    <w:uiPriority w:val="99"/>
    <w:semiHidden/>
    <w:unhideWhenUsed/>
    <w:rPr>
      <w:sz w:val="20"/>
      <w:szCs w:val="20"/>
    </w:rPr>
  </w:style>
  <w:style w:type="character" w:styleId="1088" w:customStyle="1">
    <w:name w:val="Текст примечания Знак"/>
    <w:link w:val="1087"/>
    <w:uiPriority w:val="99"/>
    <w:semiHidden/>
    <w:rPr>
      <w:rFonts w:ascii="Arial" w:hAnsi="Arial"/>
      <w:lang w:eastAsia="ar-SA"/>
    </w:rPr>
  </w:style>
  <w:style w:type="paragraph" w:styleId="1089">
    <w:name w:val="annotation subject"/>
    <w:basedOn w:val="1087"/>
    <w:next w:val="1087"/>
    <w:link w:val="1090"/>
    <w:uiPriority w:val="99"/>
    <w:semiHidden/>
    <w:unhideWhenUsed/>
    <w:rPr>
      <w:b/>
      <w:bCs/>
    </w:rPr>
  </w:style>
  <w:style w:type="character" w:styleId="1090" w:customStyle="1">
    <w:name w:val="Тема примечания Знак"/>
    <w:link w:val="1089"/>
    <w:uiPriority w:val="99"/>
    <w:semiHidden/>
    <w:rPr>
      <w:rFonts w:ascii="Arial" w:hAnsi="Arial"/>
      <w:b/>
      <w:bCs/>
      <w:lang w:eastAsia="ar-SA"/>
    </w:rPr>
  </w:style>
  <w:style w:type="character" w:styleId="1091" w:customStyle="1">
    <w:name w:val="Текст выноски Знак2"/>
    <w:link w:val="1039"/>
    <w:uiPriority w:val="99"/>
    <w:semiHidden/>
    <w:rPr>
      <w:rFonts w:ascii="Tahoma" w:hAnsi="Tahoma" w:cs="Tahoma"/>
      <w:sz w:val="16"/>
      <w:szCs w:val="16"/>
      <w:lang w:eastAsia="ar-SA"/>
    </w:rPr>
  </w:style>
  <w:style w:type="paragraph" w:styleId="1092" w:customStyle="1">
    <w:name w:val="formattext"/>
    <w:basedOn w:val="770"/>
    <w:pPr>
      <w:spacing w:before="100" w:beforeAutospacing="1" w:after="100" w:afterAutospacing="1" w:line="240" w:lineRule="auto"/>
    </w:pPr>
    <w:rPr>
      <w:rFonts w:ascii="Times New Roman" w:hAnsi="Times New Roman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Дирекция</dc:creator>
  <cp:lastModifiedBy>antonovasv</cp:lastModifiedBy>
  <cp:revision>4</cp:revision>
  <dcterms:created xsi:type="dcterms:W3CDTF">2026-08-26T13:38:00Z</dcterms:created>
  <dcterms:modified xsi:type="dcterms:W3CDTF">2026-08-31T11:40:18Z</dcterms:modified>
  <cp:version>917504</cp:version>
</cp:coreProperties>
</file>